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2125" w:leader="none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>
      <w:pPr>
        <w:pStyle w:val="BodyText"/>
        <w:spacing w:lineRule="exact" w:line="679" w:before="211" w:after="0"/>
        <w:ind w:start="390"/>
        <w:rPr>
          <w:rFonts w:ascii="Arial" w:hAnsi="Arial"/>
          <w:b/>
          <w:bCs/>
          <w:sz w:val="48"/>
          <w:szCs w:val="48"/>
        </w:rPr>
      </w:pP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 xml:space="preserve">       </w:t>
      </w: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ab/>
        <w:tab/>
        <w:tab/>
        <w:tab/>
        <w:t xml:space="preserve">     </w:t>
      </w:r>
      <w:r>
        <w:drawing>
          <wp:anchor distT="0" distB="0" distL="0" distR="114300" simplePos="0" relativeHeight="3" behindDoc="0" locked="0" layoutInCell="0" allowOverlap="1">
            <wp:simplePos x="0" y="0"/>
            <wp:positionH relativeFrom="column">
              <wp:posOffset>7409180</wp:posOffset>
            </wp:positionH>
            <wp:positionV relativeFrom="paragraph">
              <wp:posOffset>151765</wp:posOffset>
            </wp:positionV>
            <wp:extent cx="2399665" cy="7480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color w:val="508E8F"/>
          <w:spacing w:val="-12"/>
          <w:sz w:val="48"/>
          <w:szCs w:val="48"/>
        </w:rPr>
        <w:t xml:space="preserve">                                                                                         </w:t>
      </w:r>
    </w:p>
    <w:p>
      <w:pPr>
        <w:pStyle w:val="Normal"/>
        <w:spacing w:lineRule="exact" w:line="453"/>
        <w:rPr>
          <w:rFonts w:ascii="Arial" w:hAnsi="Arial"/>
        </w:rPr>
      </w:pPr>
      <w:r>
        <w:rPr>
          <w:rFonts w:ascii="Arial" w:hAnsi="Arial"/>
          <w:b/>
          <w:sz w:val="40"/>
        </w:rPr>
        <w:t xml:space="preserve">  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SBHC Patient</w:t>
      </w:r>
      <w:r>
        <w:rPr>
          <w:rFonts w:ascii="Arial" w:hAnsi="Arial"/>
          <w:b/>
          <w:bCs/>
          <w:color w:val="00A933"/>
          <w:spacing w:val="-30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Participation</w:t>
      </w:r>
      <w:r>
        <w:rPr>
          <w:rFonts w:ascii="Arial" w:hAnsi="Arial"/>
          <w:b/>
          <w:bCs/>
          <w:color w:val="00A933"/>
          <w:spacing w:val="-29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0"/>
          <w:sz w:val="48"/>
          <w:szCs w:val="48"/>
        </w:rPr>
        <w:t>Group</w:t>
      </w:r>
      <w:r>
        <w:rPr>
          <w:rFonts w:ascii="Arial" w:hAnsi="Arial"/>
          <w:b/>
          <w:bCs/>
          <w:color w:val="00A933"/>
          <w:spacing w:val="-30"/>
          <w:sz w:val="48"/>
          <w:szCs w:val="48"/>
        </w:rPr>
        <w:t xml:space="preserve"> </w:t>
      </w:r>
      <w:r>
        <w:rPr>
          <w:rFonts w:ascii="Arial" w:hAnsi="Arial"/>
          <w:b/>
          <w:bCs/>
          <w:color w:val="00A933"/>
          <w:spacing w:val="-12"/>
          <w:sz w:val="44"/>
          <w:szCs w:val="44"/>
        </w:rPr>
        <w:t>(PPG)</w:t>
      </w:r>
    </w:p>
    <w:p>
      <w:pPr>
        <w:pStyle w:val="Normal"/>
        <w:tabs>
          <w:tab w:val="clear" w:pos="720"/>
          <w:tab w:val="left" w:pos="12240" w:leader="none"/>
        </w:tabs>
        <w:spacing w:lineRule="exact" w:line="453"/>
        <w:rPr>
          <w:rFonts w:ascii="Arial" w:hAnsi="Arial"/>
        </w:rPr>
      </w:pPr>
      <w:r>
        <w:rPr>
          <w:rFonts w:ascii="Arial" w:hAnsi="Arial"/>
          <w:b/>
          <w:sz w:val="40"/>
        </w:rPr>
        <w:t xml:space="preserve">   </w:t>
      </w:r>
      <w:r>
        <w:rPr>
          <w:rFonts w:ascii="Arial" w:hAnsi="Arial"/>
          <w:b/>
          <w:sz w:val="40"/>
        </w:rPr>
        <w:t>UPDATED Action</w:t>
      </w:r>
      <w:r>
        <w:rPr>
          <w:rFonts w:ascii="Arial" w:hAnsi="Arial"/>
          <w:b/>
          <w:spacing w:val="1"/>
          <w:sz w:val="40"/>
        </w:rPr>
        <w:t xml:space="preserve"> </w:t>
      </w:r>
      <w:r>
        <w:rPr>
          <w:rFonts w:ascii="Arial" w:hAnsi="Arial"/>
          <w:b/>
          <w:spacing w:val="-4"/>
          <w:sz w:val="40"/>
        </w:rPr>
        <w:t>Plan/Tracker – August 2026</w:t>
      </w:r>
    </w:p>
    <w:p>
      <w:pPr>
        <w:pStyle w:val="Normal"/>
        <w:tabs>
          <w:tab w:val="clear" w:pos="720"/>
          <w:tab w:val="left" w:pos="12240" w:leader="none"/>
        </w:tabs>
        <w:spacing w:lineRule="exact" w:line="453"/>
        <w:rPr>
          <w:rFonts w:ascii="Arial" w:hAnsi="Arial"/>
          <w:b/>
          <w:i/>
          <w:iCs/>
          <w:color w:val="auto"/>
          <w:spacing w:val="-4"/>
          <w:sz w:val="28"/>
          <w:szCs w:val="28"/>
        </w:rPr>
      </w:pPr>
      <w:r>
        <w:rPr>
          <w:rFonts w:ascii="Arial" w:hAnsi="Arial"/>
          <w:b/>
          <w:i/>
          <w:iCs/>
          <w:color w:val="auto"/>
          <w:spacing w:val="-4"/>
          <w:sz w:val="28"/>
          <w:szCs w:val="28"/>
        </w:rPr>
        <w:t xml:space="preserve">     </w:t>
      </w:r>
      <w:r>
        <w:rPr>
          <w:rFonts w:ascii="Arial" w:hAnsi="Arial"/>
          <w:b/>
          <w:i/>
          <w:iCs/>
          <w:color w:val="auto"/>
          <w:spacing w:val="-4"/>
          <w:sz w:val="28"/>
          <w:szCs w:val="28"/>
        </w:rPr>
        <w:t>(Updated before and at the PPG meeting on 13 August 2026)</w:t>
      </w:r>
    </w:p>
    <w:p>
      <w:pPr>
        <w:pStyle w:val="Normal"/>
        <w:spacing w:lineRule="exact" w:line="453"/>
        <w:jc w:val="end"/>
        <w:rPr>
          <w:rFonts w:ascii="Arial" w:hAnsi="Arial"/>
          <w:b/>
          <w:spacing w:val="-4"/>
          <w:sz w:val="28"/>
          <w:szCs w:val="28"/>
        </w:rPr>
      </w:pPr>
      <w:r>
        <w:rPr>
          <w:rFonts w:ascii="Arial" w:hAnsi="Arial"/>
          <w:b/>
          <w:spacing w:val="-4"/>
          <w:sz w:val="28"/>
          <w:szCs w:val="28"/>
        </w:rPr>
        <w:t xml:space="preserve">    </w:t>
      </w:r>
      <w:r>
        <w:rPr>
          <w:rFonts w:ascii="Arial" w:hAnsi="Arial"/>
          <w:b/>
          <w:color w:val="FF8000"/>
          <w:spacing w:val="-4"/>
          <w:sz w:val="28"/>
          <w:szCs w:val="28"/>
        </w:rPr>
        <w:t xml:space="preserve"> </w:t>
      </w:r>
      <w:r>
        <w:rPr>
          <w:rFonts w:ascii="Arial" w:hAnsi="Arial"/>
          <w:b/>
          <w:color w:val="FF8000"/>
          <w:spacing w:val="-4"/>
          <w:sz w:val="28"/>
          <w:szCs w:val="28"/>
        </w:rPr>
        <w:t>See Appendix for Acronyms (with hyperlinks)</w:t>
      </w:r>
    </w:p>
    <w:p>
      <w:pPr>
        <w:pStyle w:val="Normal"/>
        <w:spacing w:before="5" w:after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635" distB="0" distL="0" distR="0" simplePos="0" relativeHeight="2" behindDoc="0" locked="0" layoutInCell="0" allowOverlap="1" wp14:anchorId="1B58C19F">
                <wp:simplePos x="0" y="0"/>
                <wp:positionH relativeFrom="page">
                  <wp:posOffset>539750</wp:posOffset>
                </wp:positionH>
                <wp:positionV relativeFrom="paragraph">
                  <wp:posOffset>166370</wp:posOffset>
                </wp:positionV>
                <wp:extent cx="9611995" cy="1270"/>
                <wp:effectExtent l="0" t="6350" r="0" b="5080"/>
                <wp:wrapTopAndBottom/>
                <wp:docPr id="2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2000" cy="1440"/>
                        </a:xfrm>
                        <a:custGeom>
                          <a:avLst/>
                          <a:gdLst>
                            <a:gd name="textAreaLeft" fmla="*/ 0 w 5449320"/>
                            <a:gd name="textAreaRight" fmla="*/ 5459760 w 5449320"/>
                            <a:gd name="textAreaTop" fmla="*/ 0 h 720"/>
                            <a:gd name="textAreaBottom" fmla="*/ 7465752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611995" h="0">
                              <a:moveTo>
                                <a:pt x="0" y="0"/>
                              </a:moveTo>
                              <a:lnTo>
                                <a:pt x="9611995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97C2B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78" w:after="0"/>
        <w:rPr>
          <w:b/>
          <w:sz w:val="20"/>
        </w:rPr>
      </w:pPr>
      <w:r>
        <w:rPr>
          <w:b/>
          <w:sz w:val="20"/>
        </w:rPr>
      </w:r>
    </w:p>
    <w:tbl>
      <w:tblPr>
        <w:tblW w:w="15776" w:type="dxa"/>
        <w:jc w:val="start"/>
        <w:tblInd w:w="283" w:type="dxa"/>
        <w:tblLayout w:type="fixed"/>
        <w:tblCellMar>
          <w:top w:w="0" w:type="dxa"/>
          <w:start w:w="7" w:type="dxa"/>
          <w:bottom w:w="0" w:type="dxa"/>
          <w:end w:w="0" w:type="dxa"/>
        </w:tblCellMar>
        <w:tblLook w:val="0000" w:firstRow="0" w:noVBand="0" w:lastRow="0" w:firstColumn="0" w:lastColumn="0" w:noHBand="0"/>
      </w:tblPr>
      <w:tblGrid>
        <w:gridCol w:w="738"/>
        <w:gridCol w:w="1592"/>
        <w:gridCol w:w="1200"/>
        <w:gridCol w:w="1518"/>
        <w:gridCol w:w="1592"/>
        <w:gridCol w:w="2560"/>
        <w:gridCol w:w="1980"/>
        <w:gridCol w:w="1308"/>
        <w:gridCol w:w="1532"/>
        <w:gridCol w:w="1756"/>
      </w:tblGrid>
      <w:tr>
        <w:trPr>
          <w:trHeight w:val="1214" w:hRule="atLeast"/>
        </w:trPr>
        <w:tc>
          <w:tcPr>
            <w:tcW w:w="738" w:type="dxa"/>
            <w:tcBorders>
              <w:top w:val="single" w:sz="6" w:space="0" w:color="009353"/>
              <w:start w:val="single" w:sz="6" w:space="0" w:color="009353"/>
            </w:tcBorders>
            <w:shd w:color="auto" w:fill="009353" w:val="clear"/>
          </w:tcPr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</w:t>
            </w:r>
          </w:p>
          <w:p>
            <w:pPr>
              <w:pStyle w:val="TableParagraph"/>
              <w:spacing w:before="77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</w:t>
            </w:r>
          </w:p>
          <w:p>
            <w:pPr>
              <w:pStyle w:val="TableParagraph"/>
              <w:spacing w:before="1" w:after="0"/>
              <w:jc w:val="center"/>
              <w:rPr>
                <w:b/>
                <w:bCs/>
                <w:color w:val="FFFFFF"/>
                <w:spacing w:val="-4"/>
                <w:w w:val="105"/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-4"/>
                <w:w w:val="105"/>
                <w:sz w:val="24"/>
                <w:szCs w:val="24"/>
              </w:rPr>
              <w:t>Date</w:t>
            </w:r>
          </w:p>
        </w:tc>
        <w:tc>
          <w:tcPr>
            <w:tcW w:w="1592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end="8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end="8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What is the issue</w:t>
            </w:r>
            <w:r>
              <w:rPr>
                <w:b/>
                <w:bCs/>
                <w:color w:val="FFFFFF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you</w:t>
            </w:r>
            <w:r>
              <w:rPr>
                <w:b/>
                <w:bCs/>
                <w:color w:val="FFFFFF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have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identified?</w:t>
            </w:r>
          </w:p>
        </w:tc>
        <w:tc>
          <w:tcPr>
            <w:tcW w:w="1200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end="17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end="170"/>
              <w:jc w:val="center"/>
              <w:rPr/>
            </w:pPr>
            <w:r>
              <w:rPr>
                <w:b/>
                <w:bCs/>
                <w:color w:val="FFFFFF"/>
                <w:sz w:val="24"/>
                <w:szCs w:val="24"/>
              </w:rPr>
              <w:t>Where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is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the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evidence?</w:t>
            </w:r>
          </w:p>
        </w:tc>
        <w:tc>
          <w:tcPr>
            <w:tcW w:w="1518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w w:val="105"/>
                <w:sz w:val="24"/>
                <w:szCs w:val="24"/>
              </w:rPr>
            </w:pPr>
            <w:r>
              <w:rPr>
                <w:b/>
                <w:bCs/>
                <w:color w:val="FFFFFF"/>
                <w:w w:val="105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/>
            </w:pP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What</w:t>
            </w:r>
            <w:r>
              <w:rPr>
                <w:b/>
                <w:bCs/>
                <w:color w:val="FFFFFF"/>
                <w:spacing w:val="-15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will</w:t>
            </w:r>
            <w:r>
              <w:rPr>
                <w:b/>
                <w:bCs/>
                <w:color w:val="FFFFFF"/>
                <w:spacing w:val="-14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you do about it?</w:t>
            </w:r>
          </w:p>
        </w:tc>
        <w:tc>
          <w:tcPr>
            <w:tcW w:w="1592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" w:after="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        </w:t>
            </w:r>
            <w:r>
              <w:rPr>
                <w:b/>
                <w:bCs/>
                <w:color w:val="FFFFFF"/>
                <w:sz w:val="24"/>
                <w:szCs w:val="24"/>
              </w:rPr>
              <w:t>What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can’t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you </w:t>
            </w:r>
            <w:r>
              <w:rPr>
                <w:b/>
                <w:bCs/>
                <w:color w:val="FFFFFF"/>
                <w:w w:val="105"/>
                <w:sz w:val="24"/>
                <w:szCs w:val="24"/>
              </w:rPr>
              <w:t>do and why?</w:t>
            </w:r>
          </w:p>
        </w:tc>
        <w:tc>
          <w:tcPr>
            <w:tcW w:w="2560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0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spacing w:lineRule="auto" w:line="247" w:before="1" w:after="0"/>
              <w:ind w:start="55" w:end="46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How will you know it has</w:t>
            </w:r>
            <w:r>
              <w:rPr>
                <w:b/>
                <w:bCs/>
                <w:color w:val="FFFFFF"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been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successful?</w:t>
            </w:r>
          </w:p>
        </w:tc>
        <w:tc>
          <w:tcPr>
            <w:tcW w:w="1980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lineRule="auto" w:line="247" w:before="64" w:after="0"/>
              <w:ind w:hanging="1" w:start="229" w:end="221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How will it improve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the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 xml:space="preserve">experience </w:t>
            </w:r>
            <w:r>
              <w:rPr>
                <w:b/>
                <w:bCs/>
                <w:color w:val="FFFFFF"/>
                <w:sz w:val="24"/>
                <w:szCs w:val="24"/>
              </w:rPr>
              <w:t>of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the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wider </w:t>
            </w: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>community?</w:t>
            </w:r>
          </w:p>
        </w:tc>
        <w:tc>
          <w:tcPr>
            <w:tcW w:w="1308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7" w:after="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             </w:t>
            </w:r>
            <w:r>
              <w:rPr>
                <w:b/>
                <w:bCs/>
                <w:color w:val="FFFFFF"/>
                <w:sz w:val="24"/>
                <w:szCs w:val="24"/>
              </w:rPr>
              <w:t>Who</w:t>
            </w:r>
            <w:r>
              <w:rPr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FFFF"/>
                <w:sz w:val="24"/>
                <w:szCs w:val="24"/>
              </w:rPr>
              <w:t>will</w:t>
            </w:r>
            <w:r>
              <w:rPr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spacing w:lineRule="auto" w:line="247" w:before="1" w:after="0"/>
              <w:ind w:hanging="82" w:start="251" w:end="149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lead the project?</w:t>
            </w:r>
          </w:p>
        </w:tc>
        <w:tc>
          <w:tcPr>
            <w:tcW w:w="1532" w:type="dxa"/>
            <w:tcBorders>
              <w:top w:val="single" w:sz="6" w:space="0" w:color="009353"/>
            </w:tcBorders>
            <w:shd w:color="auto" w:fill="009353" w:val="clear"/>
          </w:tcPr>
          <w:p>
            <w:pPr>
              <w:pStyle w:val="TableParagraph"/>
              <w:spacing w:before="178" w:after="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         </w:t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pacing w:val="-2"/>
                <w:sz w:val="24"/>
                <w:szCs w:val="24"/>
              </w:rPr>
              <w:t xml:space="preserve">Completion </w:t>
            </w:r>
            <w:r>
              <w:rPr>
                <w:b/>
                <w:bCs/>
                <w:color w:val="FFFFFF"/>
                <w:spacing w:val="-4"/>
                <w:sz w:val="24"/>
                <w:szCs w:val="24"/>
              </w:rPr>
              <w:t>date</w:t>
            </w:r>
          </w:p>
          <w:p>
            <w:pPr>
              <w:pStyle w:val="TableParagraph"/>
              <w:spacing w:lineRule="auto" w:line="247" w:before="1" w:after="0"/>
              <w:ind w:end="149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         </w:t>
            </w:r>
          </w:p>
        </w:tc>
        <w:tc>
          <w:tcPr>
            <w:tcW w:w="1756" w:type="dxa"/>
            <w:tcBorders>
              <w:top w:val="single" w:sz="6" w:space="0" w:color="009353"/>
              <w:end w:val="single" w:sz="6" w:space="0" w:color="009353"/>
            </w:tcBorders>
            <w:shd w:color="auto" w:fill="009353" w:val="clear"/>
          </w:tcPr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</w:r>
          </w:p>
          <w:p>
            <w:pPr>
              <w:pStyle w:val="TableParagraph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/>
              <w:t>PPG ACTIONS/</w:t>
            </w:r>
          </w:p>
          <w:p>
            <w:pPr>
              <w:pStyle w:val="TableParagraph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/>
              <w:t>DECISIONS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2026</w:t>
            </w:r>
          </w:p>
        </w:tc>
        <w:tc>
          <w:tcPr>
            <w:tcW w:w="159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ANNUAL AGENDA ITEM: Patient Feedback</w:t>
            </w:r>
          </w:p>
        </w:tc>
        <w:tc>
          <w:tcPr>
            <w:tcW w:w="120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Patient Survey Results</w:t>
            </w:r>
          </w:p>
        </w:tc>
        <w:tc>
          <w:tcPr>
            <w:tcW w:w="151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Review information across all teams</w:t>
            </w:r>
          </w:p>
        </w:tc>
        <w:tc>
          <w:tcPr>
            <w:tcW w:w="159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N/A            </w:t>
            </w:r>
          </w:p>
        </w:tc>
        <w:tc>
          <w:tcPr>
            <w:tcW w:w="256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There is a good response rate from patients [random or targetted sample?]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Allows changes to be made based on feedback from patients </w:t>
            </w:r>
          </w:p>
        </w:tc>
        <w:tc>
          <w:tcPr>
            <w:tcW w:w="130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3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October 2026</w:t>
            </w:r>
          </w:p>
        </w:tc>
        <w:tc>
          <w:tcPr>
            <w:tcW w:w="1756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lineRule="auto" w:line="276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Review Patient Feedback Surveys ahead of November meeting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  <w:t>NEW: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  <w:t>August 2026</w:t>
            </w:r>
          </w:p>
        </w:tc>
        <w:tc>
          <w:tcPr>
            <w:tcW w:w="1592" w:type="dxa"/>
            <w:tcBorders/>
          </w:tcPr>
          <w:p>
            <w:pPr>
              <w:pStyle w:val="BodyText"/>
              <w:spacing w:before="228" w:after="228"/>
              <w:jc w:val="center"/>
              <w:rPr>
                <w:rFonts w:ascii="Trebuchet MS" w:hAnsi="Trebuchet MS"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The care and monitoring of those using anti-psychotic drugs is changing</w:t>
            </w:r>
          </w:p>
        </w:tc>
        <w:tc>
          <w:tcPr>
            <w:tcW w:w="120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Staff update and Patient  Feedback</w:t>
            </w:r>
          </w:p>
        </w:tc>
        <w:tc>
          <w:tcPr>
            <w:tcW w:w="1518" w:type="dxa"/>
            <w:tcBorders/>
          </w:tcPr>
          <w:p>
            <w:pPr>
              <w:pStyle w:val="BodyText"/>
              <w:spacing w:before="228" w:after="228"/>
              <w:jc w:val="center"/>
              <w:rPr>
                <w:rFonts w:ascii="Trebuchet MS" w:hAnsi="Trebuchet MS"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Interim PPG Secretary to draft a letter to the ICB to be sent on behalf of the PPG before the next ICB meeting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56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The ICB replies to this letter from the PPG in a positive and reassuring way. 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The careful management of these drugs is in the patient and the public interest</w:t>
            </w:r>
          </w:p>
        </w:tc>
        <w:tc>
          <w:tcPr>
            <w:tcW w:w="130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Interim Secretary and Interim Chair of the PPG</w:t>
            </w:r>
          </w:p>
        </w:tc>
        <w:tc>
          <w:tcPr>
            <w:tcW w:w="153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 August 2026</w:t>
            </w:r>
          </w:p>
        </w:tc>
        <w:tc>
          <w:tcPr>
            <w:tcW w:w="1756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SBHC/ICB update at November meeting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  <w:t>NEW: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  <w:t>August 202</w:t>
            </w:r>
          </w:p>
        </w:tc>
        <w:tc>
          <w:tcPr>
            <w:tcW w:w="1592" w:type="dxa"/>
            <w:tcBorders/>
          </w:tcPr>
          <w:p>
            <w:pPr>
              <w:pStyle w:val="BodyText"/>
              <w:spacing w:before="228" w:after="228"/>
              <w:jc w:val="center"/>
              <w:rPr>
                <w:rFonts w:ascii="Trebuchet MS" w:hAnsi="Trebuchet MS"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The number of Apps/contacts that patients are now being encouraged to use is confusing, eg "My Care App" "Patients Know Best" “Patient Access" "myhealth- devon nhs"  "drsservices"</w:t>
            </w: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Feedback</w:t>
            </w:r>
          </w:p>
        </w:tc>
        <w:tc>
          <w:tcPr>
            <w:tcW w:w="1518" w:type="dxa"/>
            <w:tcBorders/>
          </w:tcPr>
          <w:p>
            <w:pPr>
              <w:pStyle w:val="BodyText"/>
              <w:spacing w:before="228" w:after="228"/>
              <w:jc w:val="center"/>
              <w:rPr>
                <w:rFonts w:ascii="Trebuchet MS" w:hAnsi="Trebuchet MS"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Is there a way that patients can get all the information that they need from one NHS source/app?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 there a patient-friendly guide to health-related apps available? </w:t>
            </w:r>
            <w:r>
              <w:rPr>
                <w:rFonts w:ascii="Aptos;Aptos EmbeddedFont;Aptos MSFontService;Calibri;Helvetica;sans-serif" w:hAnsi="Aptos;Aptos EmbeddedFont;Aptos MSFontService;Calibri;Helvetica;sans-serif"/>
                <w:color w:val="000000"/>
                <w:sz w:val="24"/>
                <w:szCs w:val="24"/>
              </w:rPr>
              <w:t>Or,</w:t>
            </w:r>
            <w:r>
              <w:rPr>
                <w:color w:val="000000"/>
                <w:sz w:val="24"/>
                <w:szCs w:val="24"/>
              </w:rPr>
              <w:t xml:space="preserve"> is there an NHS patient body that the PPG can write to about this issue?</w:t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hyperlink r:id="rId3">
              <w:r>
                <w:rPr>
                  <w:rStyle w:val="Hyperlink"/>
                  <w:color w:val="000000"/>
                  <w:sz w:val="24"/>
                  <w:szCs w:val="24"/>
                </w:rPr>
                <w:t>Current Government Policy, re: Patient Voice?</w:t>
              </w:r>
            </w:hyperlink>
          </w:p>
        </w:tc>
        <w:tc>
          <w:tcPr>
            <w:tcW w:w="256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There is some co-ordinated oversight, re: NHS Digital to     make it easier for patients to use and understand these different services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Patients are able to transition more easily to digital support for meeting their health needs which may help to reduce demand on the Health Centre</w:t>
            </w:r>
          </w:p>
        </w:tc>
        <w:tc>
          <w:tcPr>
            <w:tcW w:w="130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Interim Chair</w:t>
            </w:r>
          </w:p>
        </w:tc>
        <w:tc>
          <w:tcPr>
            <w:tcW w:w="153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November 2026</w:t>
            </w:r>
          </w:p>
        </w:tc>
        <w:tc>
          <w:tcPr>
            <w:tcW w:w="1756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Sophie/Holly to advise?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  <w:t>NEW: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  <w:t>August 2026</w:t>
            </w:r>
          </w:p>
        </w:tc>
        <w:tc>
          <w:tcPr>
            <w:tcW w:w="1592" w:type="dxa"/>
            <w:tcBorders/>
          </w:tcPr>
          <w:p>
            <w:pPr>
              <w:pStyle w:val="BodyText"/>
              <w:spacing w:before="228" w:after="228"/>
              <w:jc w:val="center"/>
              <w:rPr>
                <w:rFonts w:ascii="Trebuchet MS" w:hAnsi="Trebuchet MS"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The need to improve communicat-ion links with vulnerable groups in our community</w:t>
            </w:r>
          </w:p>
        </w:tc>
        <w:tc>
          <w:tcPr>
            <w:tcW w:w="120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Feedback</w:t>
            </w:r>
          </w:p>
        </w:tc>
        <w:tc>
          <w:tcPr>
            <w:tcW w:w="1518" w:type="dxa"/>
            <w:tcBorders/>
          </w:tcPr>
          <w:p>
            <w:pPr>
              <w:pStyle w:val="BodyText"/>
              <w:spacing w:before="228" w:after="228"/>
              <w:jc w:val="center"/>
              <w:rPr>
                <w:rFonts w:ascii="Trebuchet MS" w:hAnsi="Trebuchet MS"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 xml:space="preserve">Develop a working relationship with wardens of supported housing 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56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Those in supported housing will feel better supported by experiencing a more joined up service around them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Supporting communities in this way might help to reduce the demand on GP appointments</w:t>
            </w:r>
          </w:p>
        </w:tc>
        <w:tc>
          <w:tcPr>
            <w:tcW w:w="130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3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2026</w:t>
            </w:r>
          </w:p>
        </w:tc>
        <w:tc>
          <w:tcPr>
            <w:tcW w:w="1756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PM to update progress at November meeting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  <w:t>NEW: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  <w:t>August 2026</w:t>
            </w:r>
          </w:p>
        </w:tc>
        <w:tc>
          <w:tcPr>
            <w:tcW w:w="1592" w:type="dxa"/>
            <w:tcBorders/>
          </w:tcPr>
          <w:p>
            <w:pPr>
              <w:pStyle w:val="BodyText"/>
              <w:spacing w:before="228" w:after="228"/>
              <w:jc w:val="center"/>
              <w:rPr>
                <w:rFonts w:ascii="Trebuchet MS" w:hAnsi="Trebuchet MS"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Improving information to patients and carers around preventing falls through grab rails/minor adaptations to the home</w:t>
            </w:r>
          </w:p>
        </w:tc>
        <w:tc>
          <w:tcPr>
            <w:tcW w:w="120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Patient Feeback</w:t>
            </w:r>
          </w:p>
        </w:tc>
        <w:tc>
          <w:tcPr>
            <w:tcW w:w="151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Use Waiting Room screen, website and Facebook page to alert patients and carers on how to access OT services  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56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More patients and carers are proactive in looking after those who are at risk of falling by reaching out for an OT assessment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Less falls means less demand on the Health Centre and the wider NHS</w:t>
            </w:r>
          </w:p>
        </w:tc>
        <w:tc>
          <w:tcPr>
            <w:tcW w:w="130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3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2026</w:t>
            </w:r>
          </w:p>
        </w:tc>
        <w:tc>
          <w:tcPr>
            <w:tcW w:w="1756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PM/PPG to CONFIRM COMPLETED at November meeting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July 2026</w:t>
            </w:r>
          </w:p>
        </w:tc>
        <w:tc>
          <w:tcPr>
            <w:tcW w:w="1592" w:type="dxa"/>
            <w:tcBorders/>
          </w:tcPr>
          <w:p>
            <w:pPr>
              <w:pStyle w:val="BodyText"/>
              <w:spacing w:before="228" w:after="228"/>
              <w:jc w:val="center"/>
              <w:rPr>
                <w:rFonts w:ascii="Trebuchet MS" w:hAnsi="Trebuchet MS"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 xml:space="preserve">Lack of clarity around the transfer process from one Health Centre to another             </w:t>
            </w:r>
          </w:p>
        </w:tc>
        <w:tc>
          <w:tcPr>
            <w:tcW w:w="120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New patient feedback</w:t>
            </w:r>
          </w:p>
        </w:tc>
        <w:tc>
          <w:tcPr>
            <w:tcW w:w="151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Improve information around this process on the Health Centre website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56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New patients will understand the transfer process, eg that their repeat prescriptions do not automatically transfer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New patients will enjoy a less stressful transfer process</w:t>
            </w:r>
          </w:p>
        </w:tc>
        <w:tc>
          <w:tcPr>
            <w:tcW w:w="130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3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2026</w:t>
            </w:r>
          </w:p>
        </w:tc>
        <w:tc>
          <w:tcPr>
            <w:tcW w:w="1756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PPG to monitor at next meeting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auto" w:val="clear"/>
              </w:rPr>
              <w:t>PREVIOUS PPG SUGGESTIONS:See Annual Cycle of Business – Revisit in March 2027, eg Request a presentation, eg from Devon Carers, Dementia Support, Mental Health, etc.? Days/Timings?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    </w:t>
            </w:r>
          </w:p>
        </w:tc>
        <w:tc>
          <w:tcPr>
            <w:tcW w:w="120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auto" w:val="clear"/>
              </w:rPr>
              <w:t>Eg Free First Aid courses run by St John’s Ambulance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Add CPR/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choking video to playlist of waiting room TV</w:t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Communicate CPR courses in Village Hall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51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TBC               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TBC</w:t>
            </w:r>
          </w:p>
        </w:tc>
        <w:tc>
          <w:tcPr>
            <w:tcW w:w="256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TBC           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TBC</w:t>
            </w:r>
          </w:p>
        </w:tc>
        <w:tc>
          <w:tcPr>
            <w:tcW w:w="1308" w:type="dxa"/>
            <w:tcBorders/>
          </w:tcPr>
          <w:p>
            <w:pPr>
              <w:pStyle w:val="TableParagraph"/>
              <w:spacing w:before="228" w:after="228"/>
              <w:jc w:val="star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       </w:t>
            </w:r>
            <w:r>
              <w:rPr>
                <w:shd w:fill="auto" w:val="clear"/>
              </w:rPr>
              <w:t>TBC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star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 xml:space="preserve">             </w:t>
            </w:r>
          </w:p>
          <w:p>
            <w:pPr>
              <w:pStyle w:val="TableParagraph"/>
              <w:spacing w:before="228" w:after="228"/>
              <w:jc w:val="star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star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star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TableParagraph"/>
              <w:spacing w:before="228" w:after="228"/>
              <w:jc w:val="start"/>
              <w:rPr>
                <w:highlight w:val="none"/>
                <w:shd w:fill="auto" w:val="clear"/>
              </w:rPr>
            </w:pPr>
            <w:r>
              <w:rPr/>
              <w:t xml:space="preserve"> </w:t>
            </w:r>
          </w:p>
        </w:tc>
        <w:tc>
          <w:tcPr>
            <w:tcW w:w="153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March 2027           </w:t>
            </w:r>
          </w:p>
        </w:tc>
        <w:tc>
          <w:tcPr>
            <w:tcW w:w="1756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shd w:fill="FFFF00" w:val="clear"/>
              </w:rPr>
              <w:t xml:space="preserve">PPG to discuss at March Meeting 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592" w:type="dxa"/>
            <w:tcBorders/>
          </w:tcPr>
          <w:p>
            <w:pPr>
              <w:pStyle w:val="BodyText"/>
              <w:spacing w:before="228" w:after="228"/>
              <w:jc w:val="center"/>
              <w:rPr>
                <w:rFonts w:ascii="Trebuchet MS" w:hAnsi="Trebuchet MS"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The PPG offered a member to sit on future recruitment panels for staff at the Health Centre</w:t>
            </w:r>
          </w:p>
        </w:tc>
        <w:tc>
          <w:tcPr>
            <w:tcW w:w="120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151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val="auto"/>
              </w:rPr>
              <w:t>To be discussed with partners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Attendance would be dependent on the role advertised</w:t>
            </w:r>
          </w:p>
        </w:tc>
        <w:tc>
          <w:tcPr>
            <w:tcW w:w="256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Feedback from all parties involved</w:t>
            </w:r>
          </w:p>
          <w:p>
            <w:pPr>
              <w:pStyle w:val="TableParagraph"/>
              <w:spacing w:before="228" w:after="228"/>
              <w:jc w:val="center"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 </w:t>
            </w:r>
            <w:r>
              <w:rPr>
                <w:color w:themeColor="text1" w:val="000000"/>
                <w:sz w:val="24"/>
                <w:szCs w:val="24"/>
              </w:rPr>
              <w:t>T</w:t>
            </w:r>
            <w:r>
              <w:rPr>
                <w:color w:val="000000"/>
                <w:sz w:val="24"/>
                <w:szCs w:val="24"/>
              </w:rPr>
              <w:t>wo PPG members with professional health backgrounds have expressed an interest in serving     (13 August meeting)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Having a patient voice/representative when interviewing could allow for a different view point   </w:t>
            </w:r>
          </w:p>
        </w:tc>
        <w:tc>
          <w:tcPr>
            <w:tcW w:w="130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Chair</w:t>
            </w:r>
          </w:p>
        </w:tc>
        <w:tc>
          <w:tcPr>
            <w:tcW w:w="153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Ongoing</w:t>
            </w:r>
          </w:p>
        </w:tc>
        <w:tc>
          <w:tcPr>
            <w:tcW w:w="1756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PPG to monitor any future PPG involvement in staff recruitment processes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/>
              <w:t>May 2026</w:t>
            </w:r>
          </w:p>
        </w:tc>
        <w:tc>
          <w:tcPr>
            <w:tcW w:w="1592" w:type="dxa"/>
            <w:tcBorders/>
            <w:shd w:color="auto" w:fill="CCCCCC" w:val="clear"/>
          </w:tcPr>
          <w:p>
            <w:pPr>
              <w:pStyle w:val="BodyText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rebuchet MS" w:cs="Trebuchet MS" w:ascii="Trebuchet MS" w:hAnsi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The PPG offered member support, re: the mock CQC Inspection planned for June</w:t>
            </w:r>
          </w:p>
        </w:tc>
        <w:tc>
          <w:tcPr>
            <w:tcW w:w="120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151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As an informal visit there was no PPG involvement, however there would be for a full inspection</w:t>
            </w:r>
          </w:p>
        </w:tc>
        <w:tc>
          <w:tcPr>
            <w:tcW w:w="159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Allow member/s to sit in on confidential conversations</w:t>
            </w:r>
          </w:p>
        </w:tc>
        <w:tc>
          <w:tcPr>
            <w:tcW w:w="256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Result of CQC inspection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In representing the views of the community and allowing members to share the process of a CQC inspection with the wider community </w:t>
            </w:r>
            <w:r>
              <w:rPr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130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  </w:t>
            </w:r>
            <w:r>
              <w:rPr/>
              <w:t>Practice Manager/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Chair         </w:t>
            </w:r>
          </w:p>
        </w:tc>
        <w:tc>
          <w:tcPr>
            <w:tcW w:w="153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Ongoing</w:t>
            </w:r>
          </w:p>
        </w:tc>
        <w:tc>
          <w:tcPr>
            <w:tcW w:w="1756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Please let the Interim Chair know if you would be interested in representing the PPG at the next inspection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2026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rebuchet MS" w:cs="Trebuchet MS"/>
                <w:b w:val="false"/>
                <w:i w:val="false"/>
                <w:caps w:val="false"/>
                <w:smallCaps w:val="false"/>
                <w:color w:val="242424"/>
                <w:spacing w:val="0"/>
                <w:sz w:val="24"/>
                <w:szCs w:val="24"/>
              </w:rPr>
              <w:t>Consider flagging clients who may need support in communicat-ing their medical needs</w:t>
            </w:r>
            <w:r>
              <w:rPr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120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Patient Feedback         </w:t>
            </w:r>
          </w:p>
        </w:tc>
        <w:tc>
          <w:tcPr>
            <w:tcW w:w="151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  </w:t>
            </w:r>
            <w:r>
              <w:rPr>
                <w:color w:themeColor="text1" w:val="000000"/>
                <w:sz w:val="24"/>
                <w:szCs w:val="24"/>
              </w:rPr>
              <w:t>Reasonable adjustments project started and being shared with all patients via a set number of question-naires being sent daily to all patients where communicat-ion needs can be document-ed on medical records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Change the questionnaire as it has been set by NHS England</w:t>
            </w:r>
          </w:p>
        </w:tc>
        <w:tc>
          <w:tcPr>
            <w:tcW w:w="2560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Having recorded information on individual needs and wants on patient medical records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 xml:space="preserve">Meeting needs of individuals when possible </w:t>
            </w:r>
          </w:p>
        </w:tc>
        <w:tc>
          <w:tcPr>
            <w:tcW w:w="130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3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November 2026              </w:t>
            </w:r>
          </w:p>
        </w:tc>
        <w:tc>
          <w:tcPr>
            <w:tcW w:w="1756" w:type="dxa"/>
            <w:tcBorders>
              <w:end w:val="single" w:sz="6" w:space="0" w:color="009353"/>
            </w:tcBorders>
          </w:tcPr>
          <w:p>
            <w:pPr>
              <w:pStyle w:val="TableParagraph"/>
              <w:suppressLineNumbers w:val="0"/>
              <w:bidi w:val="0"/>
              <w:spacing w:lineRule="auto" w:line="259" w:beforeAutospacing="0" w:before="228" w:afterAutospacing="0" w:after="228"/>
              <w:ind w:start="0" w:end="0"/>
              <w:jc w:val="center"/>
              <w:rPr>
                <w:highlight w:val="none"/>
                <w:shd w:fill="FFFF00" w:val="clear"/>
              </w:rPr>
            </w:pPr>
            <w:r>
              <w:rPr>
                <w:color w:themeColor="text1" w:val="000000"/>
                <w:sz w:val="24"/>
                <w:szCs w:val="24"/>
                <w:shd w:fill="FFFF00" w:val="clear"/>
              </w:rPr>
              <w:t xml:space="preserve">Follow up email from PPG Member 28/07 suggests further monitoring is needed by the PPG 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/>
              <w:t>May 2026</w:t>
            </w:r>
          </w:p>
        </w:tc>
        <w:tc>
          <w:tcPr>
            <w:tcW w:w="159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</w:t>
            </w:r>
            <w:r>
              <w:rPr>
                <w:color w:val="auto"/>
                <w:w w:val="105"/>
                <w:sz w:val="24"/>
                <w:szCs w:val="24"/>
              </w:rPr>
              <w:t>Members suggested some information on ‘who to call when’ would be helpful for patients.</w:t>
            </w:r>
            <w:r>
              <w:rPr>
                <w:color w:val="FF0000"/>
                <w:w w:val="10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20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Patient Feedback          </w:t>
            </w:r>
          </w:p>
        </w:tc>
        <w:tc>
          <w:tcPr>
            <w:tcW w:w="151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color w:themeColor="text1" w:val="000000"/>
                <w:sz w:val="24"/>
                <w:szCs w:val="24"/>
              </w:rPr>
              <w:t>Ongoing project for team, looking at external resources to share in the surgery/ online/social media.</w:t>
            </w:r>
            <w:r>
              <w:rPr/>
              <w:t xml:space="preserve">       </w:t>
            </w:r>
          </w:p>
        </w:tc>
        <w:tc>
          <w:tcPr>
            <w:tcW w:w="159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TBC              </w:t>
            </w:r>
          </w:p>
        </w:tc>
        <w:tc>
          <w:tcPr>
            <w:tcW w:w="256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Patients will know who to call when, re: best meeting their needs, ie criteria for calling 999, 111, Minor Injury Unit, SB Health Centre or Pharmacist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More effective and appropriate use of local resources</w:t>
            </w:r>
          </w:p>
        </w:tc>
        <w:tc>
          <w:tcPr>
            <w:tcW w:w="130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3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November 2026              </w:t>
            </w:r>
          </w:p>
        </w:tc>
        <w:tc>
          <w:tcPr>
            <w:tcW w:w="1756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uppressLineNumbers w:val="0"/>
              <w:bidi w:val="0"/>
              <w:spacing w:lineRule="auto" w:line="259" w:beforeAutospacing="0" w:before="228" w:afterAutospacing="0" w:after="228"/>
              <w:ind w:start="0" w:end="0"/>
              <w:jc w:val="center"/>
              <w:rPr/>
            </w:pPr>
            <w:r>
              <w:rPr>
                <w:color w:themeColor="text1" w:val="000000"/>
                <w:sz w:val="24"/>
                <w:szCs w:val="24"/>
                <w:shd w:fill="FFFF00" w:val="clear"/>
              </w:rPr>
              <w:t>Completion of this task by November will depend on staffing capacity</w:t>
            </w:r>
            <w:r>
              <w:rPr>
                <w:color w:themeColor="text1" w:val="000000"/>
                <w:sz w:val="24"/>
                <w:szCs w:val="24"/>
              </w:rPr>
              <w:t xml:space="preserve"> 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/>
              <w:t>May 2026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Concerns that the reception team are ‘tri-aging’ patients                </w:t>
            </w:r>
          </w:p>
        </w:tc>
        <w:tc>
          <w:tcPr>
            <w:tcW w:w="120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Patient feedback after the meeting          </w:t>
            </w:r>
          </w:p>
        </w:tc>
        <w:tc>
          <w:tcPr>
            <w:tcW w:w="1518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themeColor="text1" w:val="000000"/>
                <w:sz w:val="24"/>
                <w:szCs w:val="24"/>
                <w:shd w:fill="auto" w:val="clear"/>
              </w:rPr>
              <w:t>A new Triage tool is now place to allow patients to complete a form when requesting urgent / on the day appointments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          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N/A</w:t>
            </w:r>
          </w:p>
        </w:tc>
        <w:tc>
          <w:tcPr>
            <w:tcW w:w="256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Patients feel assured that ‘tri-aging’ isn’t happening from the reception team</w:t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The receptionists do not prioritise appoinments, the triaging GP now does this        </w:t>
            </w:r>
          </w:p>
        </w:tc>
        <w:tc>
          <w:tcPr>
            <w:tcW w:w="130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</w:t>
            </w:r>
          </w:p>
        </w:tc>
        <w:tc>
          <w:tcPr>
            <w:tcW w:w="153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November 2026              </w:t>
            </w:r>
          </w:p>
        </w:tc>
        <w:tc>
          <w:tcPr>
            <w:tcW w:w="1756" w:type="dxa"/>
            <w:tcBorders>
              <w:end w:val="single" w:sz="6" w:space="0" w:color="009353"/>
            </w:tcBorders>
          </w:tcPr>
          <w:p>
            <w:pPr>
              <w:pStyle w:val="TableParagraph"/>
              <w:suppressLineNumbers w:val="0"/>
              <w:bidi w:val="0"/>
              <w:spacing w:lineRule="auto" w:line="259" w:beforeAutospacing="0" w:before="228" w:afterAutospacing="0" w:after="228"/>
              <w:ind w:start="0" w:end="0"/>
              <w:jc w:val="center"/>
              <w:rPr/>
            </w:pPr>
            <w:r>
              <w:rPr>
                <w:shd w:fill="FFFF00" w:val="clear"/>
              </w:rPr>
              <w:t>SBHC staff and PPG members agreed that this new system is still evolving. It would therefore benefit from continued monitoring by the PPG at the next meeting.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April 2026          </w:t>
            </w:r>
          </w:p>
        </w:tc>
        <w:tc>
          <w:tcPr>
            <w:tcW w:w="159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An opportunity for the Dementia Alliance to visit the Health Centre to ensure it is Dementia Friendly     </w:t>
            </w:r>
          </w:p>
        </w:tc>
        <w:tc>
          <w:tcPr>
            <w:tcW w:w="120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Request from the Parish Council</w:t>
            </w:r>
          </w:p>
        </w:tc>
        <w:tc>
          <w:tcPr>
            <w:tcW w:w="151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 xml:space="preserve">Invite the Dementia Alliance to assess the Health Centre for Dementia Friendly Signage             </w:t>
            </w:r>
          </w:p>
        </w:tc>
        <w:tc>
          <w:tcPr>
            <w:tcW w:w="159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56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A Dementia Alliance visit has taken place and any recommendations implemented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ensure a consistent approach throughout the village, re: dementia friendly signage</w:t>
            </w:r>
          </w:p>
        </w:tc>
        <w:tc>
          <w:tcPr>
            <w:tcW w:w="130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Practice Manager/</w:t>
            </w:r>
          </w:p>
          <w:p>
            <w:pPr>
              <w:pStyle w:val="TableParagraph"/>
              <w:spacing w:before="228" w:after="228"/>
              <w:jc w:val="center"/>
              <w:rPr/>
            </w:pPr>
            <w:r>
              <w:rPr/>
              <w:t>Chair</w:t>
            </w:r>
          </w:p>
        </w:tc>
        <w:tc>
          <w:tcPr>
            <w:tcW w:w="153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Visit requested by Dementia Alliance on 13 August 2026 for 25 August</w:t>
            </w:r>
          </w:p>
        </w:tc>
        <w:tc>
          <w:tcPr>
            <w:tcW w:w="1756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00" w:val="clear"/>
              </w:rPr>
              <w:t>PPG to monitor implementation of any recommend-ations at the November meeting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March 2026        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Geographical representat-ion of the PPG is limited           </w:t>
            </w:r>
          </w:p>
        </w:tc>
        <w:tc>
          <w:tcPr>
            <w:tcW w:w="120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Observat-ion by a PPG Member</w:t>
            </w:r>
          </w:p>
        </w:tc>
        <w:tc>
          <w:tcPr>
            <w:tcW w:w="1518" w:type="dxa"/>
            <w:tcBorders/>
          </w:tcPr>
          <w:p>
            <w:pPr>
              <w:pStyle w:val="TableParagraph"/>
              <w:spacing w:before="228" w:after="228"/>
              <w:jc w:val="center"/>
              <w:rPr/>
            </w:pPr>
            <w:r>
              <w:rPr>
                <w:sz w:val="24"/>
                <w:szCs w:val="24"/>
              </w:rPr>
              <w:t>Targetted recruitment by the Chair and Health Centre</w:t>
            </w:r>
          </w:p>
        </w:tc>
        <w:tc>
          <w:tcPr>
            <w:tcW w:w="159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56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More PPG Members from outside South Brent/representatives recruited from each catchment area</w:t>
            </w:r>
          </w:p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Helps to ensure more patients are represented</w:t>
            </w:r>
          </w:p>
        </w:tc>
        <w:tc>
          <w:tcPr>
            <w:tcW w:w="1308" w:type="dxa"/>
            <w:tcBorders/>
          </w:tcPr>
          <w:p>
            <w:pPr>
              <w:pStyle w:val="TableParagraph"/>
              <w:spacing w:before="57" w:after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before="57" w:after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Practice Manager/</w:t>
            </w:r>
          </w:p>
          <w:p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</w:t>
            </w:r>
          </w:p>
        </w:tc>
        <w:tc>
          <w:tcPr>
            <w:tcW w:w="1532" w:type="dxa"/>
            <w:tcBorders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2026</w:t>
            </w:r>
          </w:p>
        </w:tc>
        <w:tc>
          <w:tcPr>
            <w:tcW w:w="1756" w:type="dxa"/>
            <w:tcBorders>
              <w:end w:val="single" w:sz="6" w:space="0" w:color="009353"/>
            </w:tcBorders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Two Members have been recruited from Ivybridge since the March Meeting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>
        <w:trPr>
          <w:trHeight w:val="1442" w:hRule="atLeast"/>
        </w:trPr>
        <w:tc>
          <w:tcPr>
            <w:tcW w:w="738" w:type="dxa"/>
            <w:tcBorders>
              <w:start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>July 2025</w:t>
            </w:r>
          </w:p>
        </w:tc>
        <w:tc>
          <w:tcPr>
            <w:tcW w:w="159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i w:val="false"/>
                <w:i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iCs w:val="false"/>
                <w:color w:val="000000"/>
                <w:sz w:val="24"/>
                <w:szCs w:val="24"/>
                <w:shd w:fill="auto" w:val="clear"/>
              </w:rPr>
              <w:t xml:space="preserve">Functionality of the NHS APP                 </w:t>
            </w:r>
          </w:p>
        </w:tc>
        <w:tc>
          <w:tcPr>
            <w:tcW w:w="120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Patient feedback</w:t>
            </w:r>
          </w:p>
        </w:tc>
        <w:tc>
          <w:tcPr>
            <w:tcW w:w="151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APP training and support is available from the Health Centre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FFFF00" w:val="clear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FFFF00" w:val="clear"/>
              </w:rPr>
              <w:t>1:1 appoint-ments can be booked in advance</w:t>
            </w:r>
          </w:p>
        </w:tc>
        <w:tc>
          <w:tcPr>
            <w:tcW w:w="159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NB Controlled centrally</w:t>
            </w:r>
            <w:r>
              <w:rPr>
                <w:color w:val="000000"/>
                <w:sz w:val="24"/>
                <w:szCs w:val="24"/>
              </w:rPr>
              <w:t xml:space="preserve"> so cannot alter locally in a bespoke way</w:t>
            </w:r>
          </w:p>
        </w:tc>
        <w:tc>
          <w:tcPr>
            <w:tcW w:w="256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color w:val="000000"/>
                <w:sz w:val="24"/>
                <w:szCs w:val="24"/>
                <w:shd w:fill="auto" w:val="clear"/>
              </w:rPr>
              <w:t>High uptake and use of the NHS App in our community</w:t>
            </w:r>
          </w:p>
          <w:p>
            <w:pPr>
              <w:pStyle w:val="TableParagraph"/>
              <w:spacing w:before="228" w:after="228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color w:val="000000"/>
                <w:sz w:val="24"/>
                <w:szCs w:val="24"/>
                <w:shd w:fill="auto" w:val="clear"/>
              </w:rPr>
              <w:t xml:space="preserve">             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Easier access for patients to request items and complete admin tasks when the surgery is closed</w:t>
            </w:r>
          </w:p>
        </w:tc>
        <w:tc>
          <w:tcPr>
            <w:tcW w:w="1308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Practice Manager</w:t>
            </w:r>
          </w:p>
        </w:tc>
        <w:tc>
          <w:tcPr>
            <w:tcW w:w="1532" w:type="dxa"/>
            <w:tcBorders/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Ongoing monitoring by the PPG (standing item)</w:t>
            </w:r>
          </w:p>
        </w:tc>
        <w:tc>
          <w:tcPr>
            <w:tcW w:w="1756" w:type="dxa"/>
            <w:tcBorders>
              <w:end w:val="single" w:sz="6" w:space="0" w:color="009353"/>
            </w:tcBorders>
            <w:shd w:color="auto" w:fill="CCCCCC" w:val="clear"/>
          </w:tcPr>
          <w:p>
            <w:pPr>
              <w:pStyle w:val="TableParagraph"/>
              <w:spacing w:before="228" w:after="228"/>
              <w:jc w:val="center"/>
              <w:rPr>
                <w:b/>
                <w:bCs/>
                <w:color w:val="000000"/>
                <w:sz w:val="24"/>
                <w:szCs w:val="24"/>
                <w:shd w:fill="FFFF00" w:val="clear"/>
              </w:rPr>
            </w:pPr>
            <w:r>
              <w:rPr>
                <w:bCs/>
                <w:color w:val="000000"/>
                <w:sz w:val="24"/>
                <w:szCs w:val="24"/>
                <w:shd w:fill="FFFF00" w:val="clear"/>
              </w:rPr>
              <w:t xml:space="preserve">PPG Member has suggested possibility of doing some outreach training to specific community groups           </w:t>
            </w:r>
          </w:p>
        </w:tc>
      </w:tr>
    </w:tbl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start"/>
        <w:rPr/>
      </w:pPr>
      <w:r>
        <w:rPr/>
        <w:t xml:space="preserve">                    </w:t>
      </w:r>
      <w:r>
        <w:rPr>
          <w:b/>
          <w:bCs/>
          <w:color w:val="FF8000"/>
          <w:sz w:val="28"/>
          <w:szCs w:val="28"/>
        </w:rPr>
        <w:t>APPENDIX A: ACRONYMS WITH HYPERLINKS TO MORE INFORMATION</w:t>
      </w:r>
    </w:p>
    <w:p>
      <w:pPr>
        <w:pStyle w:val="Normal"/>
        <w:spacing w:before="57" w:after="57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964" w:type="dxa"/>
        <w:jc w:val="start"/>
        <w:tblInd w:w="668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159"/>
        <w:gridCol w:w="12805"/>
      </w:tblGrid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SBHC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4">
              <w:r>
                <w:rPr>
                  <w:rStyle w:val="Hyperlink"/>
                  <w:sz w:val="24"/>
                  <w:szCs w:val="24"/>
                </w:rPr>
                <w:t>South Brent Health Centre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PPG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5">
              <w:r>
                <w:rPr>
                  <w:rStyle w:val="Hyperlink"/>
                  <w:sz w:val="24"/>
                  <w:szCs w:val="24"/>
                </w:rPr>
                <w:t>Patient Participation Group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Paragraph"/>
              <w:spacing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6">
              <w:r>
                <w:rPr>
                  <w:rStyle w:val="Hyperlink"/>
                  <w:sz w:val="24"/>
                  <w:szCs w:val="24"/>
                </w:rPr>
                <w:t>Practice Manager</w:t>
              </w:r>
            </w:hyperlink>
            <w:r>
              <w:rPr>
                <w:sz w:val="24"/>
                <w:szCs w:val="24"/>
              </w:rPr>
              <w:t xml:space="preserve">  (scroll down towards the bottom of the page for further info about this role at SBHC)</w:t>
            </w:r>
          </w:p>
        </w:tc>
      </w:tr>
      <w:tr>
        <w:trPr/>
        <w:tc>
          <w:tcPr>
            <w:tcW w:w="2159" w:type="dxa"/>
            <w:tcBorders/>
          </w:tcPr>
          <w:p>
            <w:pPr>
              <w:pStyle w:val="TableParagraph"/>
              <w:spacing w:before="57" w:after="57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SD&amp;T PCN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7">
              <w:r>
                <w:rPr>
                  <w:rStyle w:val="Hyperlink"/>
                  <w:sz w:val="24"/>
                  <w:szCs w:val="24"/>
                </w:rPr>
                <w:t>South Dartmoor &amp; Totnes Primary Care Network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CQC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8">
              <w:r>
                <w:rPr>
                  <w:rStyle w:val="Hyperlink"/>
                  <w:sz w:val="24"/>
                  <w:szCs w:val="24"/>
                </w:rPr>
                <w:t>Care Quality Commission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SMS 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Short Messaging Service (ie texts on mobile phones)</w:t>
            </w:r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APP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9">
              <w:r>
                <w:rPr>
                  <w:rStyle w:val="Hyperlink"/>
                  <w:sz w:val="24"/>
                  <w:szCs w:val="24"/>
                </w:rPr>
                <w:t>https://www.nhs.uk/nhs-app/help/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HCA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10">
              <w:r>
                <w:rPr>
                  <w:rStyle w:val="Hyperlink"/>
                  <w:sz w:val="24"/>
                  <w:szCs w:val="24"/>
                </w:rPr>
                <w:t>Health Care Assistant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ICB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/>
            </w:pPr>
            <w:r>
              <w:rPr/>
              <w:t xml:space="preserve"> </w:t>
            </w:r>
            <w:hyperlink r:id="rId11" w:tooltip="https://onedevon.org.uk/">
              <w:r>
                <w:rPr>
                  <w:rStyle w:val="Hyperlink"/>
                  <w:sz w:val="24"/>
                  <w:szCs w:val="24"/>
                </w:rPr>
                <w:t>Integrated Care Board</w:t>
              </w:r>
            </w:hyperlink>
            <w:r>
              <w:rPr>
                <w:sz w:val="24"/>
                <w:szCs w:val="24"/>
              </w:rPr>
              <w:t xml:space="preserve"> (replaced CCGs/Clinical Commissioning Groups in 2022) – for </w:t>
            </w:r>
            <w:hyperlink r:id="rId12" w:tooltip="https://onedevon.org.uk/about-us/areas-covered-lcps/south-devon/">
              <w:r>
                <w:rPr>
                  <w:rStyle w:val="Hyperlink"/>
                  <w:sz w:val="24"/>
                  <w:szCs w:val="24"/>
                </w:rPr>
                <w:t>South Devon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ICB DPO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jc w:val="start"/>
              <w:rPr/>
            </w:pPr>
            <w:r>
              <w:rPr>
                <w:sz w:val="24"/>
                <w:szCs w:val="24"/>
              </w:rPr>
              <w:t xml:space="preserve"> </w:t>
            </w:r>
            <w:hyperlink r:id="rId13" w:tooltip="https://devon.icb.nhs.uk/information-governance/">
              <w:r>
                <w:rPr>
                  <w:rStyle w:val="Hyperlink"/>
                  <w:sz w:val="24"/>
                  <w:szCs w:val="24"/>
                </w:rPr>
                <w:t>Integrated Care Board Data Protection Officer</w:t>
              </w:r>
            </w:hyperlink>
          </w:p>
        </w:tc>
      </w:tr>
      <w:tr>
        <w:trPr/>
        <w:tc>
          <w:tcPr>
            <w:tcW w:w="2159" w:type="dxa"/>
            <w:tcBorders/>
          </w:tcPr>
          <w:p>
            <w:pPr>
              <w:pStyle w:val="TableContents"/>
              <w:spacing w:lineRule="auto" w:line="360" w:before="57" w:after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CPR                        </w:t>
            </w:r>
          </w:p>
        </w:tc>
        <w:tc>
          <w:tcPr>
            <w:tcW w:w="12805" w:type="dxa"/>
            <w:tcBorders/>
          </w:tcPr>
          <w:p>
            <w:pPr>
              <w:pStyle w:val="TableContents"/>
              <w:spacing w:lineRule="auto" w:line="360" w:before="57" w:after="57"/>
              <w:rPr/>
            </w:pPr>
            <w:r>
              <w:rPr>
                <w:sz w:val="24"/>
                <w:szCs w:val="24"/>
              </w:rPr>
              <w:t xml:space="preserve"> </w:t>
            </w:r>
            <w:hyperlink r:id="rId14">
              <w:r>
                <w:rPr>
                  <w:rStyle w:val="Hyperlink"/>
                  <w:color w:val="auto"/>
                  <w:sz w:val="24"/>
                  <w:szCs w:val="24"/>
                </w:rPr>
                <w:t>Cardiopulmonary Resuscitation</w:t>
              </w:r>
            </w:hyperlink>
          </w:p>
        </w:tc>
      </w:tr>
    </w:tbl>
    <w:p>
      <w:pPr>
        <w:pStyle w:val="Normal"/>
        <w:jc w:val="start"/>
        <w:rPr>
          <w:b/>
          <w:bCs/>
          <w:color w:val="FF8000"/>
          <w:sz w:val="28"/>
          <w:szCs w:val="28"/>
        </w:rPr>
      </w:pPr>
      <w:r>
        <w:rPr>
          <w:b/>
          <w:bCs/>
          <w:color w:val="FF8000"/>
          <w:sz w:val="28"/>
          <w:szCs w:val="28"/>
        </w:rPr>
      </w:r>
    </w:p>
    <w:p>
      <w:pPr>
        <w:pStyle w:val="Normal"/>
        <w:jc w:val="start"/>
        <w:rPr>
          <w:b/>
          <w:bCs/>
          <w:color w:val="FF8000"/>
          <w:sz w:val="28"/>
          <w:szCs w:val="28"/>
        </w:rPr>
      </w:pPr>
      <w:r>
        <w:rPr>
          <w:b/>
          <w:bCs/>
          <w:color w:val="FF8000"/>
          <w:sz w:val="28"/>
          <w:szCs w:val="28"/>
        </w:rPr>
      </w:r>
    </w:p>
    <w:p>
      <w:pPr>
        <w:pStyle w:val="Normal"/>
        <w:jc w:val="start"/>
        <w:rPr>
          <w:b/>
          <w:bCs/>
          <w:color w:val="FF8000"/>
          <w:sz w:val="28"/>
          <w:szCs w:val="28"/>
        </w:rPr>
      </w:pPr>
      <w:r>
        <w:rPr>
          <w:b/>
          <w:bCs/>
          <w:color w:val="FF8000"/>
          <w:sz w:val="28"/>
          <w:szCs w:val="28"/>
        </w:rPr>
      </w:r>
    </w:p>
    <w:p>
      <w:pPr>
        <w:pStyle w:val="Normal"/>
        <w:jc w:val="start"/>
        <w:rPr/>
      </w:pPr>
      <w:r>
        <w:rPr>
          <w:b/>
          <w:bCs/>
          <w:color w:val="FF8000"/>
          <w:sz w:val="28"/>
          <w:szCs w:val="28"/>
        </w:rPr>
        <w:t>APPENDIX B: SHARING THE PPG WORKLOAD – Members are invited to:</w:t>
      </w:r>
    </w:p>
    <w:p>
      <w:pPr>
        <w:pStyle w:val="Normal"/>
        <w:jc w:val="start"/>
        <w:rPr>
          <w:b/>
          <w:bCs/>
          <w:color w:val="FF8000"/>
          <w:sz w:val="28"/>
          <w:szCs w:val="28"/>
        </w:rPr>
      </w:pPr>
      <w:r>
        <w:rPr>
          <w:b/>
          <w:bCs/>
          <w:color w:val="FF8000"/>
          <w:sz w:val="28"/>
          <w:szCs w:val="28"/>
        </w:rPr>
      </w:r>
    </w:p>
    <w:p>
      <w:pPr>
        <w:pStyle w:val="Normal"/>
        <w:numPr>
          <w:ilvl w:val="0"/>
          <w:numId w:val="1"/>
        </w:numPr>
        <w:jc w:val="star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Express an interest in becoming the PPG Chair, Vice Chair or Secretary (all are a one year term of office) before the November meeting.</w:t>
      </w:r>
    </w:p>
    <w:p>
      <w:pPr>
        <w:pStyle w:val="Normal"/>
        <w:numPr>
          <w:ilvl w:val="0"/>
          <w:numId w:val="1"/>
        </w:numPr>
        <w:jc w:val="start"/>
        <w:rPr>
          <w:rFonts w:ascii="Trebuchet MS" w:hAnsi="Trebuchet MS"/>
          <w:b/>
          <w:bCs/>
          <w:color w:val="auto"/>
          <w:sz w:val="30"/>
          <w:szCs w:val="30"/>
        </w:rPr>
      </w:pPr>
      <w:r>
        <w:rPr>
          <w:rFonts w:ascii="Trebuchet MS" w:hAnsi="Trebuchet MS"/>
          <w:b/>
          <w:bCs/>
          <w:color w:val="000000"/>
          <w:sz w:val="30"/>
          <w:szCs w:val="30"/>
        </w:rPr>
        <w:t>Consider facilitating an interim PPG meeting in January, April, July and October that provides interested members/patients with more time and space to discuss patient issues and concerns. This would include those issues/concerns previously identified by PPG members and captured on the Action Tracker. Summary report of these discussions/any suggested additions to the Action Tracker to be submitted to the Chair for circulation with the PPG agenda two weeks before the next PPG meeting.</w:t>
      </w:r>
      <w:r>
        <w:rPr>
          <w:rFonts w:ascii="Trebuchet MS" w:hAnsi="Trebuchet MS"/>
          <w:b/>
          <w:bCs/>
          <w:color w:val="auto"/>
          <w:sz w:val="30"/>
          <w:szCs w:val="30"/>
        </w:rPr>
        <w:t xml:space="preserve"> </w:t>
      </w:r>
    </w:p>
    <w:p>
      <w:pPr>
        <w:pStyle w:val="Normal"/>
        <w:numPr>
          <w:ilvl w:val="0"/>
          <w:numId w:val="1"/>
        </w:numPr>
        <w:jc w:val="star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Help create and update the new PPG Noticeboard that is going to be provided by the Health Centre to help promote our work/recruit new members.</w:t>
      </w:r>
    </w:p>
    <w:p>
      <w:pPr>
        <w:pStyle w:val="Normal"/>
        <w:numPr>
          <w:ilvl w:val="0"/>
          <w:numId w:val="1"/>
        </w:numPr>
        <w:jc w:val="star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Join a rota to publicise the PPG directly to patients through talking about its work to patients in the waiting room.</w:t>
      </w:r>
    </w:p>
    <w:p>
      <w:pPr>
        <w:pStyle w:val="Normal"/>
        <w:numPr>
          <w:ilvl w:val="0"/>
          <w:numId w:val="1"/>
        </w:numPr>
        <w:jc w:val="star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Pull together a ‘You Said – We Did’ poster ahead of the March meeting using information captured in the March to November Action Trackers.</w:t>
      </w:r>
    </w:p>
    <w:p>
      <w:pPr>
        <w:pStyle w:val="Normal"/>
        <w:numPr>
          <w:ilvl w:val="0"/>
          <w:numId w:val="1"/>
        </w:numPr>
        <w:jc w:val="star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Create a more user-friendly Action Tracker to support the work of the PPG going forward.</w:t>
      </w:r>
    </w:p>
    <w:p>
      <w:pPr>
        <w:pStyle w:val="Normal"/>
        <w:jc w:val="start"/>
        <w:rPr>
          <w:b/>
          <w:bCs/>
          <w:color w:val="FF8000"/>
          <w:sz w:val="28"/>
          <w:szCs w:val="28"/>
        </w:rPr>
      </w:pPr>
      <w:r>
        <w:rPr>
          <w:b/>
          <w:bCs/>
          <w:color w:val="FF8000"/>
          <w:sz w:val="28"/>
          <w:szCs w:val="28"/>
        </w:rPr>
      </w:r>
    </w:p>
    <w:sectPr>
      <w:footerReference w:type="even" r:id="rId15"/>
      <w:footerReference w:type="default" r:id="rId16"/>
      <w:footerReference w:type="first" r:id="rId17"/>
      <w:type w:val="nextPage"/>
      <w:pgSz w:orient="landscape" w:w="16838" w:h="11906"/>
      <w:pgMar w:left="460" w:right="180" w:gutter="0" w:header="0" w:top="0" w:footer="0" w:bottom="53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Trebuchet MS">
    <w:charset w:val="00" w:characterSet="windows-1252"/>
    <w:family w:val="swiss"/>
    <w:pitch w:val="variable"/>
  </w:font>
  <w:font w:name="OpenSymbol">
    <w:altName w:val="Arial Unicode MS"/>
    <w:charset w:val="0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Aptos">
    <w:altName w:val="Aptos EmbeddedFont"/>
    <w:charset w:val="00" w:characterSet="windows-1252"/>
    <w:family w:val="swiss"/>
    <w:pitch w:val="variable"/>
  </w:font>
  <w:font w:name="Trebuchet MS">
    <w:charset w:val="01"/>
    <w:family w:val="swiss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5" w:after="0"/>
    </w:pPr>
    <w:rPr>
      <w:rFonts w:ascii="Arial MT" w:hAnsi="Arial MT" w:eastAsia="Arial MT" w:cs="Arial MT"/>
      <w:sz w:val="60"/>
      <w:szCs w:val="6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 w:customStyle="1">
    <w:name w:val="Table Paragraph"/>
    <w:basedOn w:val="Normal"/>
    <w:qFormat/>
    <w:pPr/>
    <w:rPr/>
  </w:style>
  <w:style w:type="paragraph" w:styleId="FrameContents" w:customStyle="1">
    <w:name w:val="Frame Contents"/>
    <w:basedOn w:val="Normal"/>
    <w:qFormat/>
    <w:pPr/>
    <w:rPr/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20"/>
        <w:tab w:val="center" w:pos="8099" w:leader="none"/>
        <w:tab w:val="right" w:pos="16198" w:leader="none"/>
      </w:tabs>
    </w:pPr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gov.uk/government/publications/health-bill-patient-voice-fact-sheet/health-bill-patient-voice-fact-sheet" TargetMode="External"/><Relationship Id="rId4" Type="http://schemas.openxmlformats.org/officeDocument/2006/relationships/hyperlink" Target="https://www.southbrenthealth.co.uk/homepage" TargetMode="External"/><Relationship Id="rId5" Type="http://schemas.openxmlformats.org/officeDocument/2006/relationships/hyperlink" Target="https://www.southbrenthealth.co.uk/patient-participation-group" TargetMode="External"/><Relationship Id="rId6" Type="http://schemas.openxmlformats.org/officeDocument/2006/relationships/hyperlink" Target="https://www.southbrenthealth.co.uk/our-staff" TargetMode="External"/><Relationship Id="rId7" Type="http://schemas.openxmlformats.org/officeDocument/2006/relationships/hyperlink" Target="https://southdartmoorandtotnes-pcn.co.uk/" TargetMode="External"/><Relationship Id="rId8" Type="http://schemas.openxmlformats.org/officeDocument/2006/relationships/hyperlink" Target="https://www.cqc.org.uk/" TargetMode="External"/><Relationship Id="rId9" Type="http://schemas.openxmlformats.org/officeDocument/2006/relationships/hyperlink" Target="https://www.nhs.uk/nhs-app/help/" TargetMode="External"/><Relationship Id="rId10" Type="http://schemas.openxmlformats.org/officeDocument/2006/relationships/hyperlink" Target="https://www.healthcareers.nhs.uk/explore-roles/healthcare-support-worker/roles-healthcare-support-worker/healthcare-assistant" TargetMode="External"/><Relationship Id="rId11" Type="http://schemas.openxmlformats.org/officeDocument/2006/relationships/hyperlink" Target="https://onedevon.org.uk/" TargetMode="External"/><Relationship Id="rId12" Type="http://schemas.openxmlformats.org/officeDocument/2006/relationships/hyperlink" Target="https://onedevon.org.uk/about-us/areas-covered-lcps/south-devon/" TargetMode="External"/><Relationship Id="rId13" Type="http://schemas.openxmlformats.org/officeDocument/2006/relationships/hyperlink" Target="https://devon.icb.nhs.uk/information-governance/" TargetMode="External"/><Relationship Id="rId14" Type="http://schemas.openxmlformats.org/officeDocument/2006/relationships/hyperlink" Target="https://www.resus.org.uk/public-resource/how-do-cpr" TargetMode="Externa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Application>LibreOffice/26.2.5.2$Windows_X86_64 LibreOffice_project/cd7284b4cbbfeb507e630c1aac019f4157393acb</Application>
  <AppVersion>15.0000</AppVersion>
  <Pages>7</Pages>
  <Words>1600</Words>
  <Characters>8405</Characters>
  <CharactersWithSpaces>10459</CharactersWithSpaces>
  <Paragraphs>222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2026-04-23T14:32:00Z</dcterms:created>
  <dc:creator>ANDREWS, Sophie (SOUTH BRENT HEALTH CENTRE)</dc:creator>
  <dc:description/>
  <dc:language>en-GB</dc:language>
  <cp:lastModifiedBy/>
  <dcterms:modified xsi:type="dcterms:W3CDTF">2026-08-20T12:58:10Z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  <property fmtid="{D5CDD505-2E9C-101B-9397-08002B2CF9AE}" pid="5" name="Producer">
    <vt:lpwstr>Adobe PDF Library 15.0</vt:lpwstr>
  </property>
</Properties>
</file>