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2125" w:leader="none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>
      <w:pPr>
        <w:pStyle w:val="BodyText"/>
        <w:spacing w:lineRule="exact" w:line="679" w:before="211" w:after="0"/>
        <w:ind w:start="390"/>
        <w:rPr>
          <w:rFonts w:ascii="Arial" w:hAnsi="Arial"/>
          <w:b/>
          <w:bCs/>
          <w:sz w:val="48"/>
          <w:szCs w:val="48"/>
        </w:rPr>
      </w:pP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 xml:space="preserve">       </w:t>
      </w: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ab/>
        <w:tab/>
        <w:tab/>
        <w:tab/>
        <w:t xml:space="preserve">     </w:t>
      </w:r>
      <w:r>
        <w:drawing>
          <wp:anchor distT="0" distB="0" distL="0" distR="114300" simplePos="0" relativeHeight="3" behindDoc="0" locked="0" layoutInCell="0" allowOverlap="1">
            <wp:simplePos x="0" y="0"/>
            <wp:positionH relativeFrom="column">
              <wp:posOffset>7409180</wp:posOffset>
            </wp:positionH>
            <wp:positionV relativeFrom="paragraph">
              <wp:posOffset>151765</wp:posOffset>
            </wp:positionV>
            <wp:extent cx="2399665" cy="7480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 xml:space="preserve">                                                                                         </w:t>
      </w:r>
    </w:p>
    <w:p>
      <w:pPr>
        <w:pStyle w:val="Normal"/>
        <w:spacing w:lineRule="exact" w:line="453"/>
        <w:rPr>
          <w:rFonts w:ascii="Arial" w:hAnsi="Arial"/>
        </w:rPr>
      </w:pPr>
      <w:r>
        <w:rPr>
          <w:rFonts w:ascii="Arial" w:hAnsi="Arial"/>
          <w:b/>
          <w:sz w:val="40"/>
        </w:rPr>
        <w:t xml:space="preserve">  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SBHC Patient</w:t>
      </w:r>
      <w:r>
        <w:rPr>
          <w:rFonts w:ascii="Arial" w:hAnsi="Arial"/>
          <w:b/>
          <w:bCs/>
          <w:color w:val="00A933"/>
          <w:spacing w:val="-30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Participation</w:t>
      </w:r>
      <w:r>
        <w:rPr>
          <w:rFonts w:ascii="Arial" w:hAnsi="Arial"/>
          <w:b/>
          <w:bCs/>
          <w:color w:val="00A933"/>
          <w:spacing w:val="-29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Group</w:t>
      </w:r>
      <w:r>
        <w:rPr>
          <w:rFonts w:ascii="Arial" w:hAnsi="Arial"/>
          <w:b/>
          <w:bCs/>
          <w:color w:val="00A933"/>
          <w:spacing w:val="-30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2"/>
          <w:sz w:val="48"/>
          <w:szCs w:val="48"/>
        </w:rPr>
        <w:t>(PPG)</w:t>
      </w:r>
    </w:p>
    <w:p>
      <w:pPr>
        <w:pStyle w:val="Normal"/>
        <w:tabs>
          <w:tab w:val="clear" w:pos="720"/>
          <w:tab w:val="left" w:pos="12240" w:leader="none"/>
        </w:tabs>
        <w:spacing w:lineRule="exact" w:line="453"/>
        <w:rPr>
          <w:rFonts w:ascii="Arial" w:hAnsi="Arial"/>
        </w:rPr>
      </w:pPr>
      <w:r>
        <w:rPr>
          <w:rFonts w:ascii="Arial" w:hAnsi="Arial"/>
          <w:b/>
          <w:bCs/>
          <w:color w:val="00A933"/>
          <w:spacing w:val="-12"/>
          <w:sz w:val="48"/>
          <w:szCs w:val="48"/>
        </w:rPr>
        <w:t xml:space="preserve">   </w:t>
      </w:r>
      <w:r>
        <w:rPr>
          <w:rFonts w:ascii="Arial" w:hAnsi="Arial"/>
          <w:b/>
          <w:sz w:val="40"/>
        </w:rPr>
        <w:t>Action</w:t>
      </w:r>
      <w:r>
        <w:rPr>
          <w:rFonts w:ascii="Arial" w:hAnsi="Arial"/>
          <w:b/>
          <w:spacing w:val="1"/>
          <w:sz w:val="40"/>
        </w:rPr>
        <w:t xml:space="preserve"> </w:t>
      </w:r>
      <w:r>
        <w:rPr>
          <w:rFonts w:ascii="Arial" w:hAnsi="Arial"/>
          <w:b/>
          <w:spacing w:val="-4"/>
          <w:sz w:val="40"/>
        </w:rPr>
        <w:t>Plan/Tracker – August 2026</w:t>
      </w:r>
      <w:r>
        <w:rPr>
          <w:rFonts w:ascii="Arial" w:hAnsi="Arial"/>
          <w:b/>
          <w:spacing w:val="-4"/>
          <w:sz w:val="28"/>
          <w:szCs w:val="28"/>
        </w:rPr>
        <w:t xml:space="preserve"> </w:t>
      </w:r>
    </w:p>
    <w:p>
      <w:pPr>
        <w:pStyle w:val="Normal"/>
        <w:spacing w:lineRule="exact" w:line="453"/>
        <w:jc w:val="end"/>
        <w:rPr>
          <w:rFonts w:ascii="Arial" w:hAnsi="Arial"/>
          <w:b/>
          <w:spacing w:val="-4"/>
          <w:sz w:val="28"/>
          <w:szCs w:val="28"/>
        </w:rPr>
      </w:pPr>
      <w:r>
        <w:rPr>
          <w:rFonts w:ascii="Arial" w:hAnsi="Arial"/>
          <w:b/>
          <w:spacing w:val="-4"/>
          <w:sz w:val="28"/>
          <w:szCs w:val="28"/>
        </w:rPr>
        <w:t xml:space="preserve">    </w:t>
      </w:r>
      <w:r>
        <w:rPr>
          <w:rFonts w:ascii="Arial" w:hAnsi="Arial"/>
          <w:b/>
          <w:color w:val="FF8000"/>
          <w:spacing w:val="-4"/>
          <w:sz w:val="28"/>
          <w:szCs w:val="28"/>
        </w:rPr>
        <w:t xml:space="preserve"> </w:t>
      </w:r>
      <w:r>
        <w:rPr>
          <w:rFonts w:ascii="Arial" w:hAnsi="Arial"/>
          <w:b/>
          <w:color w:val="FF8000"/>
          <w:spacing w:val="-4"/>
          <w:sz w:val="28"/>
          <w:szCs w:val="28"/>
        </w:rPr>
        <w:t>See Appendix for Acronyms (with hyperlinks)</w:t>
      </w:r>
    </w:p>
    <w:p>
      <w:pPr>
        <w:pStyle w:val="Normal"/>
        <w:spacing w:before="5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635" distB="0" distL="0" distR="0" simplePos="0" relativeHeight="2" behindDoc="0" locked="0" layoutInCell="0" allowOverlap="1" wp14:anchorId="1B58C19F">
                <wp:simplePos x="0" y="0"/>
                <wp:positionH relativeFrom="page">
                  <wp:posOffset>539750</wp:posOffset>
                </wp:positionH>
                <wp:positionV relativeFrom="paragraph">
                  <wp:posOffset>166370</wp:posOffset>
                </wp:positionV>
                <wp:extent cx="9611995" cy="1270"/>
                <wp:effectExtent l="0" t="6350" r="0" b="5080"/>
                <wp:wrapTopAndBottom/>
                <wp:docPr id="2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000" cy="1440"/>
                        </a:xfrm>
                        <a:custGeom>
                          <a:avLst/>
                          <a:gdLst>
                            <a:gd name="textAreaLeft" fmla="*/ 0 w 5449320"/>
                            <a:gd name="textAreaRight" fmla="*/ 5457960 w 5449320"/>
                            <a:gd name="textAreaTop" fmla="*/ 0 h 720"/>
                            <a:gd name="textAreaBottom" fmla="*/ 983160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11995" h="0">
                              <a:moveTo>
                                <a:pt x="0" y="0"/>
                              </a:moveTo>
                              <a:lnTo>
                                <a:pt x="9611995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97C2B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78" w:after="0"/>
        <w:rPr>
          <w:b/>
          <w:sz w:val="20"/>
        </w:rPr>
      </w:pPr>
      <w:r>
        <w:rPr>
          <w:b/>
          <w:sz w:val="20"/>
        </w:rPr>
      </w:r>
    </w:p>
    <w:tbl>
      <w:tblPr>
        <w:tblW w:w="15840" w:type="dxa"/>
        <w:jc w:val="start"/>
        <w:tblInd w:w="219" w:type="dxa"/>
        <w:tblLayout w:type="fixed"/>
        <w:tblCellMar>
          <w:top w:w="0" w:type="dxa"/>
          <w:start w:w="7" w:type="dxa"/>
          <w:bottom w:w="0" w:type="dxa"/>
          <w:end w:w="0" w:type="dxa"/>
        </w:tblCellMar>
        <w:tblLook w:val="0000" w:firstRow="0" w:noVBand="0" w:lastRow="0" w:firstColumn="0" w:lastColumn="0" w:noHBand="0"/>
      </w:tblPr>
      <w:tblGrid>
        <w:gridCol w:w="804"/>
        <w:gridCol w:w="1584"/>
        <w:gridCol w:w="1199"/>
        <w:gridCol w:w="1524"/>
        <w:gridCol w:w="1584"/>
        <w:gridCol w:w="2568"/>
        <w:gridCol w:w="1980"/>
        <w:gridCol w:w="1305"/>
        <w:gridCol w:w="1527"/>
        <w:gridCol w:w="1765"/>
      </w:tblGrid>
      <w:tr>
        <w:trPr>
          <w:trHeight w:val="1214" w:hRule="atLeast"/>
        </w:trPr>
        <w:tc>
          <w:tcPr>
            <w:tcW w:w="804" w:type="dxa"/>
            <w:tcBorders>
              <w:top w:val="single" w:sz="6" w:space="0" w:color="009353"/>
              <w:start w:val="single" w:sz="6" w:space="0" w:color="009353"/>
            </w:tcBorders>
            <w:shd w:color="auto" w:fill="009353" w:val="clear"/>
          </w:tcPr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</w:t>
            </w:r>
          </w:p>
          <w:p>
            <w:pPr>
              <w:pStyle w:val="TableParagraph"/>
              <w:spacing w:before="77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</w:t>
            </w:r>
          </w:p>
          <w:p>
            <w:pPr>
              <w:pStyle w:val="TableParagraph"/>
              <w:spacing w:before="1" w:after="0"/>
              <w:jc w:val="center"/>
              <w:rPr>
                <w:b/>
                <w:bCs/>
                <w:color w:val="FFFFFF"/>
                <w:spacing w:val="-4"/>
                <w:w w:val="105"/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-4"/>
                <w:w w:val="105"/>
                <w:sz w:val="24"/>
                <w:szCs w:val="24"/>
              </w:rPr>
              <w:t>Date</w:t>
            </w:r>
          </w:p>
        </w:tc>
        <w:tc>
          <w:tcPr>
            <w:tcW w:w="1584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8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8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What is the issue</w:t>
            </w:r>
            <w:r>
              <w:rPr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you</w:t>
            </w:r>
            <w:r>
              <w:rPr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have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identified?</w:t>
            </w:r>
          </w:p>
        </w:tc>
        <w:tc>
          <w:tcPr>
            <w:tcW w:w="1199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17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170"/>
              <w:jc w:val="center"/>
              <w:rPr/>
            </w:pPr>
            <w:r>
              <w:rPr>
                <w:b/>
                <w:bCs/>
                <w:color w:val="FFFFFF"/>
                <w:sz w:val="24"/>
                <w:szCs w:val="24"/>
              </w:rPr>
              <w:t>Where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is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the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evidence?</w:t>
            </w:r>
          </w:p>
        </w:tc>
        <w:tc>
          <w:tcPr>
            <w:tcW w:w="1524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w w:val="105"/>
                <w:sz w:val="24"/>
                <w:szCs w:val="24"/>
              </w:rPr>
            </w:pPr>
            <w:r>
              <w:rPr>
                <w:b/>
                <w:bCs/>
                <w:color w:val="FFFFFF"/>
                <w:w w:val="105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/>
            </w:pP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What</w:t>
            </w:r>
            <w:r>
              <w:rPr>
                <w:b/>
                <w:bCs/>
                <w:color w:val="FFFFFF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will</w:t>
            </w:r>
            <w:r>
              <w:rPr>
                <w:b/>
                <w:bCs/>
                <w:color w:val="FFFFFF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you do about it?</w:t>
            </w:r>
          </w:p>
        </w:tc>
        <w:tc>
          <w:tcPr>
            <w:tcW w:w="1584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" w:after="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        </w:t>
            </w:r>
            <w:r>
              <w:rPr>
                <w:b/>
                <w:bCs/>
                <w:color w:val="FFFFFF"/>
                <w:sz w:val="24"/>
                <w:szCs w:val="24"/>
              </w:rPr>
              <w:t>What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can’t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you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do and why?</w:t>
            </w:r>
          </w:p>
        </w:tc>
        <w:tc>
          <w:tcPr>
            <w:tcW w:w="2568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0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start="55" w:end="46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How will you know it has</w:t>
            </w:r>
            <w:r>
              <w:rPr>
                <w:b/>
                <w:bCs/>
                <w:color w:val="FFFFFF"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been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successful?</w:t>
            </w:r>
          </w:p>
        </w:tc>
        <w:tc>
          <w:tcPr>
            <w:tcW w:w="1980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64" w:after="0"/>
              <w:ind w:hanging="1" w:start="229" w:end="221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How will it improve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the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 xml:space="preserve">experience </w:t>
            </w:r>
            <w:r>
              <w:rPr>
                <w:b/>
                <w:bCs/>
                <w:color w:val="FFFFFF"/>
                <w:sz w:val="24"/>
                <w:szCs w:val="24"/>
              </w:rPr>
              <w:t>of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the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wider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community?</w:t>
            </w:r>
          </w:p>
        </w:tc>
        <w:tc>
          <w:tcPr>
            <w:tcW w:w="1305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" w:after="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             </w:t>
            </w:r>
            <w:r>
              <w:rPr>
                <w:b/>
                <w:bCs/>
                <w:color w:val="FFFFFF"/>
                <w:sz w:val="24"/>
                <w:szCs w:val="24"/>
              </w:rPr>
              <w:t>Who</w:t>
            </w:r>
            <w:r>
              <w:rPr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will</w:t>
            </w:r>
            <w:r>
              <w:rPr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Rule="auto" w:line="247" w:before="1" w:after="0"/>
              <w:ind w:hanging="82" w:start="251" w:end="149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lead the project?</w:t>
            </w:r>
          </w:p>
        </w:tc>
        <w:tc>
          <w:tcPr>
            <w:tcW w:w="1527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178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</w:t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 xml:space="preserve">Completion </w:t>
            </w:r>
            <w:r>
              <w:rPr>
                <w:b/>
                <w:bCs/>
                <w:color w:val="FFFFFF"/>
                <w:spacing w:val="-4"/>
                <w:sz w:val="24"/>
                <w:szCs w:val="24"/>
              </w:rPr>
              <w:t>date</w:t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</w:t>
            </w:r>
          </w:p>
        </w:tc>
        <w:tc>
          <w:tcPr>
            <w:tcW w:w="1765" w:type="dxa"/>
            <w:tcBorders>
              <w:top w:val="single" w:sz="6" w:space="0" w:color="009353"/>
              <w:end w:val="single" w:sz="6" w:space="0" w:color="009353"/>
            </w:tcBorders>
            <w:shd w:color="auto" w:fill="009353" w:val="clear"/>
          </w:tcPr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/>
              <w:t>PPG ACTIONS/</w:t>
            </w:r>
          </w:p>
          <w:p>
            <w:pPr>
              <w:pStyle w:val="TableParagraph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/>
              <w:t>DECISIONS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ANNUAL AGENDA ITEM: Patient Feedback</w:t>
            </w:r>
          </w:p>
        </w:tc>
        <w:tc>
          <w:tcPr>
            <w:tcW w:w="1199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Patient Survey Results</w:t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Review information across all teams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N/A            </w:t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There is a good response rate from patients [random or targetted sample?]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Allows changes to be made based on feedback from patients </w:t>
            </w:r>
          </w:p>
        </w:tc>
        <w:tc>
          <w:tcPr>
            <w:tcW w:w="130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2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October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lineRule="auto" w:line="276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Review Patient Feedback Surveys ahead of November meeting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Aug 2026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ANNUAL AGENDA ITEM: Complaints data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Good practice for PPG to have oversight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  <w:p>
            <w:pPr>
              <w:pStyle w:val="TableParagraph"/>
              <w:spacing w:before="228" w:after="228"/>
              <w:jc w:val="start"/>
              <w:rPr/>
            </w:pPr>
            <w:r>
              <w:rPr/>
              <w:t xml:space="preserve">          </w:t>
            </w:r>
            <w:r>
              <w:rPr>
                <w:sz w:val="24"/>
                <w:szCs w:val="24"/>
              </w:rPr>
              <w:t>N/A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 summary complaints report is submitted annually to NHS </w:t>
            </w:r>
            <w:r>
              <w:rPr>
                <w:color w:val="000000"/>
                <w:sz w:val="24"/>
                <w:szCs w:val="24"/>
              </w:rPr>
              <w:t xml:space="preserve">England </w:t>
            </w:r>
            <w:r>
              <w:rPr>
                <w:color w:val="000000"/>
                <w:sz w:val="24"/>
                <w:szCs w:val="24"/>
              </w:rPr>
              <w:t>by the Health Centre. Any concerns would trigger a CQC inspection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</w:rPr>
              <w:t xml:space="preserve">Helps identify any trends in complaints – </w:t>
            </w:r>
            <w:r>
              <w:rPr>
                <w:color w:themeColor="text1" w:val="000000"/>
                <w:sz w:val="24"/>
                <w:szCs w:val="24"/>
              </w:rPr>
              <w:t>comparative data will be provided going forward</w:t>
            </w:r>
          </w:p>
        </w:tc>
        <w:tc>
          <w:tcPr>
            <w:tcW w:w="1305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2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July 2026</w:t>
            </w:r>
          </w:p>
          <w:p>
            <w:pPr>
              <w:pStyle w:val="TableParagraph"/>
              <w:spacing w:before="228" w:after="228"/>
              <w:jc w:val="center"/>
              <w:rPr>
                <w:color w:themeColor="text1"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color w:themeColor="text1" w:val="000000"/>
                <w:sz w:val="24"/>
                <w:szCs w:val="24"/>
                <w:shd w:fill="FFFF00" w:val="clear"/>
              </w:rPr>
              <w:t>(</w:t>
            </w:r>
            <w:r>
              <w:rPr>
                <w:color w:themeColor="text1" w:val="000000"/>
                <w:sz w:val="24"/>
                <w:szCs w:val="24"/>
                <w:shd w:fill="FFFF00" w:val="clear"/>
              </w:rPr>
              <w:t>PPG to r</w:t>
            </w:r>
            <w:r>
              <w:rPr>
                <w:color w:themeColor="text1" w:val="000000"/>
                <w:sz w:val="24"/>
                <w:szCs w:val="24"/>
                <w:shd w:fill="FFFF00" w:val="clear"/>
              </w:rPr>
              <w:t>emove from Action Tracker after August meeting)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Receive annual complaints data, re: assurance of no significant concerns in service delivery</w:t>
            </w:r>
          </w:p>
        </w:tc>
      </w:tr>
      <w:tr>
        <w:trPr>
          <w:trHeight w:val="3528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PREVIOUS PPG SUGGESTIONS:See Annual Cycle of Business – </w:t>
            </w:r>
            <w:r>
              <w:rPr>
                <w:color w:val="000000"/>
                <w:sz w:val="24"/>
                <w:szCs w:val="24"/>
                <w:shd w:fill="auto" w:val="clear"/>
              </w:rPr>
              <w:t>R</w:t>
            </w:r>
            <w:r>
              <w:rPr>
                <w:color w:val="000000"/>
                <w:sz w:val="24"/>
                <w:szCs w:val="24"/>
                <w:shd w:fill="auto" w:val="clear"/>
              </w:rPr>
              <w:t>evisit in March 2027, eg Request a presentation, eg from Devon Carers, Dementia Support, Mental Health, etc.? Days/Timings?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    </w:t>
            </w:r>
          </w:p>
        </w:tc>
        <w:tc>
          <w:tcPr>
            <w:tcW w:w="1199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auto" w:val="clear"/>
              </w:rPr>
              <w:t>Eg Free First Aid courses run by St John’s Ambulance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Add CPR/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choking video to playlist of waiting room TV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Communicate CPR courses in Village Hall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TBC               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TBC</w:t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TBC           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TBC</w:t>
            </w:r>
          </w:p>
        </w:tc>
        <w:tc>
          <w:tcPr>
            <w:tcW w:w="130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       </w:t>
            </w:r>
            <w:r>
              <w:rPr>
                <w:shd w:fill="auto" w:val="clear"/>
              </w:rPr>
              <w:t>TBC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             </w:t>
            </w:r>
          </w:p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/>
              <w:t xml:space="preserve"> </w:t>
            </w:r>
          </w:p>
        </w:tc>
        <w:tc>
          <w:tcPr>
            <w:tcW w:w="152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March 2027     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Discuss at March </w:t>
            </w:r>
            <w:r>
              <w:rPr>
                <w:shd w:fill="auto" w:val="clear"/>
              </w:rPr>
              <w:t xml:space="preserve">PPG </w:t>
            </w:r>
            <w:r>
              <w:rPr>
                <w:shd w:fill="auto" w:val="clear"/>
              </w:rPr>
              <w:t xml:space="preserve">Meeting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July 2026</w:t>
            </w:r>
          </w:p>
        </w:tc>
        <w:tc>
          <w:tcPr>
            <w:tcW w:w="1584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 xml:space="preserve">Lack of clarity around the transfer process from one Health Centre to another             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New patient feedback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Improve information around this process on the Health Centre website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New patients will understand the transfer process, eg that their repeat prescriptions do not automatically transfer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New patients will enjoy a less stressful transfer process</w:t>
            </w:r>
          </w:p>
        </w:tc>
        <w:tc>
          <w:tcPr>
            <w:tcW w:w="1305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2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PPG to monitor at next meeting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584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The PPG offered a member to sit on future recruitment panels for staff at the Health Centre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val="auto"/>
              </w:rPr>
              <w:t>To be discussed with partners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Attendance would be dependent on the role advertised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Feedback from all parties involved 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Having a patient voice/representative when interviewing could allow for a different view point   </w:t>
            </w:r>
          </w:p>
        </w:tc>
        <w:tc>
          <w:tcPr>
            <w:tcW w:w="1305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Chair</w:t>
            </w:r>
          </w:p>
        </w:tc>
        <w:tc>
          <w:tcPr>
            <w:tcW w:w="152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ongoing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PPG to monitor any future PPG involvement in </w:t>
            </w:r>
            <w:r>
              <w:rPr>
                <w:color w:val="000000"/>
                <w:sz w:val="24"/>
                <w:szCs w:val="24"/>
              </w:rPr>
              <w:t xml:space="preserve">staff </w:t>
            </w:r>
            <w:r>
              <w:rPr>
                <w:color w:val="000000"/>
                <w:sz w:val="24"/>
                <w:szCs w:val="24"/>
              </w:rPr>
              <w:t>recruitment processes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/>
              <w:t>May 2026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BodyText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The PPG offered member support, re: the mock CQC Inspection planned for June</w:t>
            </w:r>
          </w:p>
        </w:tc>
        <w:tc>
          <w:tcPr>
            <w:tcW w:w="1199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As an informal visit this was not actioned, however it would be for a full inspection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Allow member/s to sit in on confidential conversations</w:t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Result of CQC inspection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In representing the views of the community and allowing members to share the process of a CQC inspection with the </w:t>
            </w:r>
            <w:r>
              <w:rPr>
                <w:color w:themeColor="text1" w:val="000000"/>
                <w:sz w:val="24"/>
                <w:szCs w:val="24"/>
              </w:rPr>
              <w:t xml:space="preserve">wider </w:t>
            </w:r>
            <w:r>
              <w:rPr>
                <w:color w:themeColor="text1" w:val="000000"/>
                <w:sz w:val="24"/>
                <w:szCs w:val="24"/>
              </w:rPr>
              <w:t xml:space="preserve">community 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130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  </w:t>
            </w:r>
            <w:r>
              <w:rPr/>
              <w:t>Practice Manager/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Chair         </w:t>
            </w:r>
          </w:p>
        </w:tc>
        <w:tc>
          <w:tcPr>
            <w:tcW w:w="152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Ongoing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See update on August agenda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Consider flagging clients who may need support in communicat-ing their medical needs</w:t>
            </w:r>
            <w:r>
              <w:rPr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Patient Feedback         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  </w:t>
            </w:r>
            <w:r>
              <w:rPr>
                <w:color w:themeColor="text1" w:val="000000"/>
                <w:sz w:val="24"/>
                <w:szCs w:val="24"/>
              </w:rPr>
              <w:t>Reasonable adjustments project started and being shared with all patients via a set number of question-naire</w:t>
            </w:r>
            <w:r>
              <w:rPr>
                <w:color w:themeColor="text1" w:val="000000"/>
                <w:sz w:val="24"/>
                <w:szCs w:val="24"/>
              </w:rPr>
              <w:t>s</w:t>
            </w:r>
            <w:r>
              <w:rPr>
                <w:color w:themeColor="text1" w:val="000000"/>
                <w:sz w:val="24"/>
                <w:szCs w:val="24"/>
              </w:rPr>
              <w:t xml:space="preserve"> being sent daily to all patients where communicat-ion needs can be document-ed on medical records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Change the questionnaire as it has been set by NHS England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Having recorded information on individual needs and wants on patient medical records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Meeting needs of individuals when possible </w:t>
            </w:r>
          </w:p>
        </w:tc>
        <w:tc>
          <w:tcPr>
            <w:tcW w:w="1305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2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August 2026        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uppressLineNumbers w:val="0"/>
              <w:bidi w:val="0"/>
              <w:spacing w:lineRule="auto" w:line="259" w:beforeAutospacing="0" w:before="228" w:afterAutospacing="0" w:after="228"/>
              <w:ind w:start="0" w:end="0"/>
              <w:jc w:val="center"/>
              <w:rPr>
                <w:highlight w:val="none"/>
                <w:shd w:fill="FFFF00" w:val="clear"/>
              </w:rPr>
            </w:pPr>
            <w:r>
              <w:rPr>
                <w:color w:themeColor="text1" w:val="000000"/>
                <w:sz w:val="24"/>
                <w:szCs w:val="24"/>
                <w:shd w:fill="FFFF00" w:val="clear"/>
              </w:rPr>
              <w:t xml:space="preserve">PPG TO CONFIRM SATISFIED WITH THIS RESPONSE/ REMOVE FROM ACTION TRACKER: </w:t>
            </w:r>
            <w:r>
              <w:rPr>
                <w:color w:themeColor="text1" w:val="000000"/>
                <w:sz w:val="24"/>
                <w:szCs w:val="24"/>
                <w:shd w:fill="FFFF00" w:val="clear"/>
              </w:rPr>
              <w:t>NB follow up email from PPG Member 28/07 – may need further monitoring by the PPG</w:t>
            </w:r>
            <w:r>
              <w:rPr>
                <w:color w:themeColor="text1" w:val="000000"/>
                <w:sz w:val="24"/>
                <w:szCs w:val="24"/>
                <w:shd w:fill="FFFF00" w:val="clear"/>
              </w:rPr>
              <w:t xml:space="preserve">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/>
              <w:t>May 2026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  <w:r>
              <w:rPr>
                <w:color w:val="auto"/>
                <w:w w:val="105"/>
                <w:sz w:val="24"/>
                <w:szCs w:val="24"/>
              </w:rPr>
              <w:t>Members suggested some information on ‘who to call when’ would be helpful for patients.</w:t>
            </w:r>
            <w:r>
              <w:rPr>
                <w:color w:val="FF000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199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Patient Feedback          </w:t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Ongoing project for team, looking at external resources to share in the surgery/ online/social media.</w:t>
            </w:r>
            <w:r>
              <w:rPr/>
              <w:t xml:space="preserve">       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TBC              </w:t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Patients will know who to call when, re: best meeting their </w:t>
            </w:r>
            <w:r>
              <w:rPr>
                <w:color w:val="000000"/>
                <w:sz w:val="24"/>
                <w:szCs w:val="24"/>
              </w:rPr>
              <w:t>needs, ie criteria for calling 999, 111, Minor Injury Unit, SB Health Centre or Pharmacist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More effective and appropriate use of local resources</w:t>
            </w:r>
          </w:p>
        </w:tc>
        <w:tc>
          <w:tcPr>
            <w:tcW w:w="130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2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August 2026        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uppressLineNumbers w:val="0"/>
              <w:bidi w:val="0"/>
              <w:spacing w:lineRule="auto" w:line="259" w:beforeAutospacing="0" w:before="228" w:afterAutospacing="0" w:after="228"/>
              <w:ind w:start="0" w:end="0"/>
              <w:jc w:val="center"/>
              <w:rPr/>
            </w:pPr>
            <w:r>
              <w:rPr>
                <w:color w:themeColor="text1" w:val="000000"/>
                <w:sz w:val="24"/>
                <w:szCs w:val="24"/>
                <w:shd w:fill="FFFF00" w:val="clear"/>
              </w:rPr>
              <w:t xml:space="preserve">Staff to update with realistic timescale at meeting </w:t>
            </w:r>
            <w:r>
              <w:rPr>
                <w:color w:themeColor="text1" w:val="000000"/>
                <w:sz w:val="24"/>
                <w:szCs w:val="24"/>
              </w:rPr>
              <w:t xml:space="preserve">    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/>
              <w:t>May 2026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Concerns that the reception team are ‘tri-aging’ patients                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Patient feedback after the meeting          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themeColor="text1" w:val="000000"/>
                <w:sz w:val="24"/>
                <w:szCs w:val="24"/>
                <w:shd w:fill="auto" w:val="clear"/>
              </w:rPr>
              <w:t>New Triage tool in place to allow patients to complete a form when requesting urgent / on the day appointments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         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N/A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Patients feel assured that ‘tri-aging’ isn’t happening from the reception team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The receptionists do not prioritise the appoinments, the triaging GP now does this        </w:t>
            </w:r>
          </w:p>
        </w:tc>
        <w:tc>
          <w:tcPr>
            <w:tcW w:w="1305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2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August 2026        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uppressLineNumbers w:val="0"/>
              <w:bidi w:val="0"/>
              <w:spacing w:lineRule="auto" w:line="259" w:beforeAutospacing="0" w:before="228" w:afterAutospacing="0" w:after="228"/>
              <w:ind w:start="0" w:end="0"/>
              <w:jc w:val="center"/>
              <w:rPr/>
            </w:pPr>
            <w:r>
              <w:rPr>
                <w:shd w:fill="FFFF00" w:val="clear"/>
              </w:rPr>
              <w:t>PPG TO CONFIRM SATISFIED BY THIS RESPONSE/ REMOVE FROM ACTION TRACKER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April 2026          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An opportunity for the Dementia Alliance to visit the Health Centre to ensure it is Dementia Friendly     </w:t>
            </w:r>
          </w:p>
        </w:tc>
        <w:tc>
          <w:tcPr>
            <w:tcW w:w="1199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Request from the Parish Council</w:t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Invite the Dementia Alliance to assess the Health Centre for Dementia Friendly Signage             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A Dementia Alliance visit has taken place and any recommendations implemented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ensure a consistent approach throughout the village, re: dementia friendly signage</w:t>
            </w:r>
          </w:p>
        </w:tc>
        <w:tc>
          <w:tcPr>
            <w:tcW w:w="130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Manager/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Chair</w:t>
            </w:r>
          </w:p>
        </w:tc>
        <w:tc>
          <w:tcPr>
            <w:tcW w:w="152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Update: August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monitor implementation</w:t>
            </w:r>
            <w:r>
              <w:rPr>
                <w:color w:val="000000"/>
                <w:sz w:val="24"/>
                <w:szCs w:val="24"/>
              </w:rPr>
              <w:t xml:space="preserve">          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March 2026        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Geographical representat-ion of the PPG is limited           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Observat-ion by a PPG Member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>Targetted recruitment by the Chair and Health Centre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More PPG Members from outside South Brent/representatives recruited from each catchment area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Helps to ensure more patients are represented</w:t>
            </w:r>
          </w:p>
        </w:tc>
        <w:tc>
          <w:tcPr>
            <w:tcW w:w="1305" w:type="dxa"/>
            <w:tcBorders/>
          </w:tcPr>
          <w:p>
            <w:pPr>
              <w:pStyle w:val="TableParagraph"/>
              <w:spacing w:before="57" w:after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before="57" w:after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Practice Manager/</w:t>
            </w:r>
          </w:p>
          <w:p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</w:t>
            </w:r>
          </w:p>
        </w:tc>
        <w:tc>
          <w:tcPr>
            <w:tcW w:w="152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Two Members have been recruited from Ivybridge since the March Meeting</w:t>
            </w:r>
            <w:r>
              <w:rPr>
                <w:color w:val="000000"/>
                <w:sz w:val="24"/>
                <w:szCs w:val="24"/>
              </w:rPr>
              <w:t xml:space="preserve">     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July 2025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Functionality of the NHS APP                 </w:t>
            </w:r>
          </w:p>
        </w:tc>
        <w:tc>
          <w:tcPr>
            <w:tcW w:w="1199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Patient feedback</w:t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APP training and support is available from the Health Centre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FFFF00" w:val="clear"/>
              </w:rPr>
              <w:t>1:1 appoint-ments can be booked in advance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NB Controlled centrally</w:t>
            </w:r>
            <w:r>
              <w:rPr>
                <w:color w:val="000000"/>
                <w:sz w:val="24"/>
                <w:szCs w:val="24"/>
              </w:rPr>
              <w:t xml:space="preserve"> so cannot alter locally in a bespoke way</w:t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 xml:space="preserve">High uptake and use of the NHS App </w:t>
            </w:r>
            <w:r>
              <w:rPr>
                <w:bCs/>
                <w:color w:val="000000"/>
                <w:sz w:val="24"/>
                <w:szCs w:val="24"/>
                <w:shd w:fill="auto" w:val="clear"/>
              </w:rPr>
              <w:t>in our community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 xml:space="preserve">             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Easier access for patients to request items and complete admin tasks when the surgery is closed</w:t>
            </w:r>
          </w:p>
        </w:tc>
        <w:tc>
          <w:tcPr>
            <w:tcW w:w="130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52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Ongoing monitoring by the PPG (standing item)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0000"/>
                <w:sz w:val="24"/>
                <w:szCs w:val="24"/>
                <w:shd w:fill="FFFF00" w:val="clear"/>
              </w:rPr>
            </w:pPr>
            <w:r>
              <w:rPr>
                <w:bCs/>
                <w:color w:val="000000"/>
                <w:sz w:val="24"/>
                <w:szCs w:val="24"/>
                <w:shd w:fill="FFFF00" w:val="clear"/>
              </w:rPr>
              <w:t xml:space="preserve">PPG Member has suggested possibility of doing some outreach training to specific community groups           </w:t>
            </w:r>
          </w:p>
        </w:tc>
      </w:tr>
    </w:tbl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  <w:t xml:space="preserve">                        </w:t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b/>
          <w:bCs/>
          <w:color w:val="FF8000"/>
          <w:sz w:val="28"/>
          <w:szCs w:val="28"/>
        </w:rPr>
        <w:t>APPENDIX: ACRONYMS WITH HYPERLINKS TO MORE INFORMATION</w:t>
      </w:r>
    </w:p>
    <w:p>
      <w:pPr>
        <w:pStyle w:val="Normal"/>
        <w:spacing w:before="57" w:after="57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964" w:type="dxa"/>
        <w:jc w:val="start"/>
        <w:tblInd w:w="668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59"/>
        <w:gridCol w:w="12805"/>
      </w:tblGrid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SBHC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3">
              <w:r>
                <w:rPr>
                  <w:rStyle w:val="Hyperlink"/>
                  <w:sz w:val="24"/>
                  <w:szCs w:val="24"/>
                </w:rPr>
                <w:t>South Brent Health Centre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PPG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4">
              <w:r>
                <w:rPr>
                  <w:rStyle w:val="Hyperlink"/>
                  <w:sz w:val="24"/>
                  <w:szCs w:val="24"/>
                </w:rPr>
                <w:t>Patient Participation Group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Paragraph"/>
              <w:spacing w:before="57" w:after="57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SD&amp;T PCN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5">
              <w:r>
                <w:rPr>
                  <w:rStyle w:val="Hyperlink"/>
                  <w:sz w:val="24"/>
                  <w:szCs w:val="24"/>
                </w:rPr>
                <w:t>South Dartmoor &amp; Totnes Primary Care Network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CQC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6">
              <w:r>
                <w:rPr>
                  <w:rStyle w:val="Hyperlink"/>
                  <w:sz w:val="24"/>
                  <w:szCs w:val="24"/>
                </w:rPr>
                <w:t>Care Quality Commission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SMS 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Short Messaging Service (ie texts on mobile phones)</w:t>
            </w:r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APP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7">
              <w:r>
                <w:rPr>
                  <w:rStyle w:val="Hyperlink"/>
                  <w:sz w:val="24"/>
                  <w:szCs w:val="24"/>
                </w:rPr>
                <w:t>https://www.nhs.uk/nhs-app/help/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HCA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8">
              <w:r>
                <w:rPr>
                  <w:rStyle w:val="Hyperlink"/>
                  <w:sz w:val="24"/>
                  <w:szCs w:val="24"/>
                </w:rPr>
                <w:t>Health Care Assistant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ICB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/>
            </w:pPr>
            <w:r>
              <w:rPr/>
              <w:t xml:space="preserve"> </w:t>
            </w:r>
            <w:hyperlink r:id="rId9" w:tooltip="https://onedevon.org.uk/">
              <w:r>
                <w:rPr>
                  <w:rStyle w:val="Hyperlink"/>
                  <w:sz w:val="24"/>
                  <w:szCs w:val="24"/>
                </w:rPr>
                <w:t>Integrated Care Board</w:t>
              </w:r>
            </w:hyperlink>
            <w:r>
              <w:rPr>
                <w:sz w:val="24"/>
                <w:szCs w:val="24"/>
              </w:rPr>
              <w:t xml:space="preserve"> (replaced CCGs/Clinical Commissioning Groups in 2022) – for </w:t>
            </w:r>
            <w:hyperlink r:id="rId10" w:tooltip="https://onedevon.org.uk/about-us/areas-covered-lcps/south-devon/">
              <w:r>
                <w:rPr>
                  <w:rStyle w:val="Hyperlink"/>
                  <w:sz w:val="24"/>
                  <w:szCs w:val="24"/>
                </w:rPr>
                <w:t>South Devon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ICB DPO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/>
            </w:pPr>
            <w:r>
              <w:rPr>
                <w:sz w:val="24"/>
                <w:szCs w:val="24"/>
              </w:rPr>
              <w:t xml:space="preserve"> </w:t>
            </w:r>
            <w:hyperlink r:id="rId11" w:tooltip="https://devon.icb.nhs.uk/information-governance/">
              <w:r>
                <w:rPr>
                  <w:rStyle w:val="Hyperlink"/>
                  <w:sz w:val="24"/>
                  <w:szCs w:val="24"/>
                </w:rPr>
                <w:t>Integrated Care Board Data Protection Officer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CPR                        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/>
            </w:pPr>
            <w:r>
              <w:rPr>
                <w:sz w:val="24"/>
                <w:szCs w:val="24"/>
              </w:rPr>
              <w:t xml:space="preserve"> </w:t>
            </w:r>
            <w:hyperlink r:id="rId12">
              <w:r>
                <w:rPr>
                  <w:rStyle w:val="Hyperlink"/>
                  <w:color w:val="auto"/>
                  <w:sz w:val="24"/>
                  <w:szCs w:val="24"/>
                </w:rPr>
                <w:t>Cardiopulmonary Resuscitation</w:t>
              </w:r>
            </w:hyperlink>
          </w:p>
        </w:tc>
      </w:tr>
    </w:tbl>
    <w:p>
      <w:pPr>
        <w:pStyle w:val="Normal"/>
        <w:rPr/>
      </w:pPr>
      <w:r>
        <w:rPr/>
      </w:r>
    </w:p>
    <w:sectPr>
      <w:footerReference w:type="even" r:id="rId13"/>
      <w:footerReference w:type="default" r:id="rId14"/>
      <w:footerReference w:type="first" r:id="rId15"/>
      <w:type w:val="nextPage"/>
      <w:pgSz w:orient="landscape" w:w="16838" w:h="11906"/>
      <w:pgMar w:left="460" w:right="180" w:gutter="0" w:header="0" w:top="0" w:footer="0" w:bottom="53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  <w:font w:name="OpenSymbol">
    <w:altName w:val="Arial Unicode MS"/>
    <w:charset w:val="0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5" w:after="0"/>
    </w:pPr>
    <w:rPr>
      <w:rFonts w:ascii="Arial MT" w:hAnsi="Arial MT" w:eastAsia="Arial MT" w:cs="Arial MT"/>
      <w:sz w:val="60"/>
      <w:szCs w:val="6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 w:customStyle="1">
    <w:name w:val="Table Paragraph"/>
    <w:basedOn w:val="Normal"/>
    <w:qFormat/>
    <w:pPr/>
    <w:rPr/>
  </w:style>
  <w:style w:type="paragraph" w:styleId="FrameContentsuser" w:customStyle="1">
    <w:name w:val="Frame Contents (user)"/>
    <w:basedOn w:val="Normal"/>
    <w:qFormat/>
    <w:pPr/>
    <w:rPr/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20"/>
        <w:tab w:val="center" w:pos="8099" w:leader="none"/>
        <w:tab w:val="right" w:pos="16198" w:leader="none"/>
      </w:tabs>
    </w:pPr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southbrenthealth.co.uk/homepage" TargetMode="External"/><Relationship Id="rId4" Type="http://schemas.openxmlformats.org/officeDocument/2006/relationships/hyperlink" Target="https://www.southbrenthealth.co.uk/patient-participation-group" TargetMode="External"/><Relationship Id="rId5" Type="http://schemas.openxmlformats.org/officeDocument/2006/relationships/hyperlink" Target="https://southdartmoorandtotnes-pcn.co.uk/" TargetMode="External"/><Relationship Id="rId6" Type="http://schemas.openxmlformats.org/officeDocument/2006/relationships/hyperlink" Target="https://www.cqc.org.uk/" TargetMode="External"/><Relationship Id="rId7" Type="http://schemas.openxmlformats.org/officeDocument/2006/relationships/hyperlink" Target="https://www.nhs.uk/nhs-app/help/" TargetMode="External"/><Relationship Id="rId8" Type="http://schemas.openxmlformats.org/officeDocument/2006/relationships/hyperlink" Target="https://www.healthcareers.nhs.uk/explore-roles/healthcare-support-worker/roles-healthcare-support-worker/healthcare-assistant" TargetMode="External"/><Relationship Id="rId9" Type="http://schemas.openxmlformats.org/officeDocument/2006/relationships/hyperlink" Target="https://onedevon.org.uk/" TargetMode="External"/><Relationship Id="rId10" Type="http://schemas.openxmlformats.org/officeDocument/2006/relationships/hyperlink" Target="https://onedevon.org.uk/about-us/areas-covered-lcps/south-devon/" TargetMode="External"/><Relationship Id="rId11" Type="http://schemas.openxmlformats.org/officeDocument/2006/relationships/hyperlink" Target="https://devon.icb.nhs.uk/information-governance/" TargetMode="External"/><Relationship Id="rId12" Type="http://schemas.openxmlformats.org/officeDocument/2006/relationships/hyperlink" Target="https://www.resus.org.uk/public-resource/how-do-cpr" TargetMode="Externa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Application>LibreOffice/26.2.5.2$Windows_X86_64 LibreOffice_project/cd7284b4cbbfeb507e630c1aac019f4157393acb</Application>
  <AppVersion>15.0000</AppVersion>
  <Pages>5</Pages>
  <Words>1011</Words>
  <Characters>5473</Characters>
  <CharactersWithSpaces>7023</CharactersWithSpaces>
  <Paragraphs>179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2026-04-23T14:32:00Z</dcterms:created>
  <dc:creator>ANDREWS, Sophie (SOUTH BRENT HEALTH CENTRE)</dc:creator>
  <dc:description/>
  <dc:language>en-GB</dc:language>
  <cp:lastModifiedBy/>
  <dcterms:modified xsi:type="dcterms:W3CDTF">2026-07-31T12:07:27Z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15.0</vt:lpwstr>
  </property>
</Properties>
</file>